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88R3673 GCB-D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Moody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1400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outpatient treatment programs to provide court-ordered outpatient mental health services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574, Health and Safety Code, is amended by adding Sections 574.038 and 574.039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574.038.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ESTABLISHMENT OF REGIONAL ASSISTED OUTPATIENT TREATMENT PROGRAMS.  The commissioners courts of two or more counties may establish a regional assisted outpatient treatment program to provide court-ordered outpatient mental health services under this chapter in the participating counties.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574.039.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MANDATORY PROGRAM IN CERTAIN COUNTIES.  (a) </w:t>
      </w:r>
      <w:r>
        <w:rPr>
          <w:u w:val="single"/>
        </w:rPr>
        <w:t xml:space="preserve"> </w:t>
      </w:r>
      <w:r>
        <w:rPr>
          <w:u w:val="single"/>
        </w:rPr>
        <w:t xml:space="preserve">Subject to Subsection (b), the commissioners court of a county with a population of more than 200,000 shall establish a program to provide court-ordered outpatient mental health services under this chapter and apply for federal and state funding to pay the program costs.  The criminal justice division of the governor's office may assist a county in applying for federal funding.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is required to establish a program to provide court-ordered outpatient mental health services under this chapter only if the county receives federal or state funding specifically for that purpose in an amount sufficient to pay the program costs.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that is required to establish a program to provide court-ordered outpatient mental health services under this chapter and fails to establish or to maintain that program is ineligible to receive grant funding from this state or any state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