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88R7056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restrict sex offenders from child safety zones in certain portions of the unincorporated area of the county;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351, Local Government Code, is amended by adding Section 351.905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351.905.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LIMITATIONS ON REGISTERED SEX OFFENDERS IN UNINCORPORATED AREA OF CERTAIN COUNTIES.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 safety zone" means premises where children commonly gather.  The term includes a school, day-care facility, playground, public or private youth center, public swimming pool, video arcade facility, or other facility that regularly holds events primarily for children. The term does not include a church, as defined by Section 544.251, Insurance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"Playground," "premises," "school," "video arcade facility," and "youth center" have the meanings assigned by Section 481.134,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"Registered sex offender" means an individual who is subject to the registration requirements of Chapter 62,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300,000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provide for the public safety, the commissioners court of a county by order may restrict a registered sex offender from going in, on, or within a specified distance of a child safety zone located: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school district with 500 or fewer students in enrollment;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affirmative defense to prosecution of an offense under the order that the registered sex offender was in, on, or within a specified distance of a child safety zone for a legitimate purpose, including transportation of a child that the registered sex offender is legally permitted to be with, transportation to and from work, and other work-related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may establish a distance requirement described by Subsection (c) at any distance of not more than 1,000 feet.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must establish procedures for a registered sex offender to apply for an exemption from the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must exempt a registered sex offender who established residency in a residence located within the specified distance of a child safety zone before the date the order is adopted.  The exemption must apply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areas necessary for the registered sex offender to have access to and to live in the residence;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period the registered sex offender maintains residency in the residence.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violates an order adopted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An offense under this subsection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