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88R2078 SHH-D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Rogers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1411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persons considered practitioners for purposes of prescribing certain drugs and devices.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483.001(12), Health and Safety Code, is amended to read as follows: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(12)</w:t>
      </w:r>
      <w:r xml:space="preserve">
        <w:t> </w:t>
      </w:r>
      <w:r xml:space="preserve">
        <w:t> </w:t>
      </w:r>
      <w:r>
        <w:t xml:space="preserve">"Practitioner" means: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a person licensed by: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(i)</w:t>
      </w:r>
      <w:r xml:space="preserve">
        <w:t> </w:t>
      </w:r>
      <w:r xml:space="preserve">
        <w:t> </w:t>
      </w:r>
      <w:r>
        <w:t xml:space="preserve">the Texas Medical Board, State Board of Dental Examiners, Texas Optometry Board, </w:t>
      </w:r>
      <w:r>
        <w:rPr>
          <w:u w:val="single"/>
        </w:rPr>
        <w:t xml:space="preserve">Texas State Board of Acupuncture Examiners, Texas Board of Chiropractic Examiners, Texas State Board of Examiners of Professional Counselors, Texas State Board of Examiners of Psychologists,</w:t>
      </w:r>
      <w:r>
        <w:t xml:space="preserve"> or State Board of Veterinary Medical Examiners to prescribe and administer dangerous drugs; or</w:t>
      </w:r>
    </w:p>
    <w:p w:rsidR="003F3435" w:rsidRDefault="0032493E">
      <w:pPr>
        <w:spacing w:line="480" w:lineRule="auto"/>
        <w:ind w:firstLine="2880"/>
        <w:jc w:val="both"/>
      </w:pPr>
      <w:r>
        <w:t xml:space="preserve">(ii)</w:t>
      </w:r>
      <w:r xml:space="preserve">
        <w:t> </w:t>
      </w:r>
      <w:r xml:space="preserve">
        <w:t> </w:t>
      </w:r>
      <w:r>
        <w:t xml:space="preserve">the Texas Department of Licensing and Regulation, with respect to podiatry, to prescribe and administer dangerous drugs;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person licensed by another state in a health field in which, under the laws of this state, a licensee may legally prescribe dangerous drugs;</w:t>
      </w:r>
    </w:p>
    <w:p w:rsidR="003F3435" w:rsidRDefault="0032493E">
      <w:pPr>
        <w:spacing w:line="480" w:lineRule="auto"/>
        <w:ind w:firstLine="216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person licensed in Canada or Mexico in a health field in which, under the laws of this state, a licensee may legally prescribe dangerous drugs; or</w:t>
      </w:r>
    </w:p>
    <w:p w:rsidR="003F3435" w:rsidRDefault="0032493E">
      <w:pPr>
        <w:spacing w:line="480" w:lineRule="auto"/>
        <w:ind w:firstLine="216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an advanced practice registered nurse or physician assistant to whom a physician has delegated the authority to prescribe or order a drug or device under Section 157.0511, 157.0512, or 157.054, Occupations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1411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