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88R5656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1415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lighting equipment requirements for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547.323, Transportation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Section 547.3215, a high-mounted stoplamp is considered to comply with the current federal standards in 49 C.F.R. Section 571.108 if the stoplamp varies in intensity four or fewer times but never deactivates when the vehicle brakes for not more than two seconds.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