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1417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appraisal for ad valorem tax purposes of property owned by certain telecommunications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23, Tax Code, is amended by adding Section 23.1212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23.1212.</w:t>
      </w:r>
      <w:r>
        <w:rPr>
          <w:u w:val="single"/>
        </w:rPr>
        <w:t xml:space="preserve"> </w:t>
      </w:r>
      <w:r>
        <w:rPr>
          <w:u w:val="single"/>
        </w:rPr>
        <w:t xml:space="preserve"> </w:t>
      </w:r>
      <w:r>
        <w:rPr>
          <w:u w:val="single"/>
        </w:rPr>
        <w:t xml:space="preserve">PROPERTY OWNED BY SMALL PROVIDER; VALUE.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"Incumbent local exchange company,"</w:t>
      </w:r>
      <w:r>
        <w:rPr>
          <w:u w:val="single"/>
        </w:rPr>
        <w:t xml:space="preserve"> </w:t>
      </w:r>
      <w:r>
        <w:rPr>
          <w:u w:val="single"/>
        </w:rPr>
        <w:t xml:space="preserve">"local exchange company,"</w:t>
      </w:r>
      <w:r>
        <w:rPr>
          <w:u w:val="single"/>
        </w:rPr>
        <w:t xml:space="preserve"> </w:t>
      </w:r>
      <w:r>
        <w:rPr>
          <w:u w:val="single"/>
        </w:rPr>
        <w:t xml:space="preserve">and "telecommunications utility"</w:t>
      </w:r>
      <w:r>
        <w:rPr>
          <w:u w:val="single"/>
        </w:rPr>
        <w:t xml:space="preserve"> </w:t>
      </w:r>
      <w:r>
        <w:rPr>
          <w:u w:val="single"/>
        </w:rPr>
        <w:t xml:space="preserve">have the meanings assigned by Section 51.002,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"Presumptive appraised value" means the value equal to 20 percent of the net book value of taxable property on January 1 of a tax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"Small provider" means a telecommunications utility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incumbent local exchange company or cooperative that, on September 1, 2013, together with all local exchange companies affiliated with the company or cooperative on that date, served 31,000 or fewer access lines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company or cooperative that is a successor to a company or cooperative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small provider that owns taxable real or personal property in more than one appraisal district may elect to have the property appraised for a tax year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elect appraisal of property for a tax year under this section, a small provider must submit a written request not later than March 1 of the tax year to the chief appraiser of each appraisal district for which the election is made.  The request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presumptive appraised value on January 1 of that tax year of the small provider's taxable property in the appraisal district for which the request is submitted;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 accounting report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demonstrates the net book value of the small provider's taxable property in the appraisal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prepared and certified by a certified or licensed public accountant who is not an employee of the small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chief appraiser who receives a request timely submitted under this section must appraise the property that is the subject of the request at the property's presumptive appraised value.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chief appraiser may increase the appraised value of a small provider's real and personal property to an amount greater than the presumptive appraised value if the increase is supported by a preponderance of the evidence.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