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88R7784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 peace officer who fails to report the suspected abuse, neglect, or exploitation of an elderly person or a person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has cause to believe that an elderly person or person with a disability has been abused, neglected, or exploited or is in the state of abuse, neglect, or exploitation and knowingly fails to report in accordance with this chapter. An offense under this subsection is a Class A misdemeanor, except that the offense is a state jail felony if it is shown on the trial of the offense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abused, neglected, or exploited person is a person with an intellectual disability who resided in a state supported living center, the ICF-IID component of the Rio Grande State Center, or a facility licensed under Chapter 252, Health and Safety Code, and the actor knew that the person had suffered serious bodily injury as a result of the abuse, neglect, or exploitation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is a peace officer who encountered the abused, neglected, or exploited person in the course of discharging duties as a peace officer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