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1427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harassment.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publishes on an Internet website, including a social media platform, repeated electronic communications in a manner reasonably likely to cause emotional distress, abuse, or torment to another person, unless the communications are made in connection with a matter of public concern</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makes obscene, intimidating, or threatening telephone calls or other electronic communications from a temporary or disposable telephone number provided by an Internet application or other technological means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