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88R6444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1428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prisoners serving a sentence in a county jail with certain documents on discharge.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351, Local Government Code, is amended by adding Sections 351.049 and 351.050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351.049.</w:t>
      </w:r>
      <w:r>
        <w:rPr>
          <w:u w:val="single"/>
        </w:rPr>
        <w:t xml:space="preserve"> </w:t>
      </w:r>
      <w:r>
        <w:rPr>
          <w:u w:val="single"/>
        </w:rPr>
        <w:t xml:space="preserve"> </w:t>
      </w:r>
      <w:r>
        <w:rPr>
          <w:u w:val="single"/>
        </w:rPr>
        <w:t xml:space="preserve">PROVIDING DISCHARGED PRISONER WITH STATE-ISSUED IDENTIFICATION.  (a)  Before discharging a prisoner serving a sentence in a county jail, the sheriff of the county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valid license issued under Chapter 521 or 522, Transportation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valid personal identification certificate issued under Chapter 521,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valid license or certificate described by Subdivision (1), submit to the Department of Public Safety on behalf of the prisoner a request for the issuance of a personal identification certificate under Chapter 521,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as soon as is practicable to enable the sheriff to provide the prisoner with the personal identification certificate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on Jail Standards, the Department of Public Safety, and the vital statistics unit of the Department of State Health Services shall adopt a memorandum of understanding that establishes the respective responsibilities of a sheriff, the Department of Public Safety, and the Department of State Health Services with respect to the issuance of a personal identification certificate to a prisoner serving a sentence in a county jail, including responsibilities related to verification of the prisoner's identity.  The memorandum of understanding must require the Department of State Health Services to electronically verify the birth record of a prisoner whose name and any other personal information is provided by the sheriff and to electronically report the recorded filing information to the Department of Public Safety to validate the identity of a prisoner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sheriff or commissioners court of the county shall reimburse the Department of Public Safety or the Department of State Health Services for the actual costs incurred by those agencies in performing responsibilities established under this section.</w:t>
      </w:r>
      <w:r>
        <w:rPr>
          <w:u w:val="single"/>
        </w:rPr>
        <w:t xml:space="preserve"> </w:t>
      </w:r>
      <w:r>
        <w:rPr>
          <w:u w:val="single"/>
        </w:rPr>
        <w:t xml:space="preserve"> </w:t>
      </w:r>
      <w:r>
        <w:rPr>
          <w:u w:val="single"/>
        </w:rPr>
        <w:t xml:space="preserve">The sheriff may not charge a prisoner any fee relating to the costs incurred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351.050.</w:t>
      </w:r>
      <w:r>
        <w:rPr>
          <w:u w:val="single"/>
        </w:rPr>
        <w:t xml:space="preserve"> </w:t>
      </w:r>
      <w:r>
        <w:rPr>
          <w:u w:val="single"/>
        </w:rPr>
        <w:t xml:space="preserve"> </w:t>
      </w:r>
      <w:r>
        <w:rPr>
          <w:u w:val="single"/>
        </w:rPr>
        <w:t xml:space="preserve">PROVIDING DISCHARGED PRISONER WITH BIRTH CERTIFICATE AND SOCIAL SECURITY CARD.  (a)</w:t>
      </w:r>
      <w:r>
        <w:rPr>
          <w:u w:val="single"/>
        </w:rPr>
        <w:t xml:space="preserve"> </w:t>
      </w:r>
      <w:r>
        <w:rPr>
          <w:u w:val="single"/>
        </w:rPr>
        <w:t xml:space="preserve"> </w:t>
      </w:r>
      <w:r>
        <w:rPr>
          <w:u w:val="single"/>
        </w:rPr>
        <w:t xml:space="preserve">In addition to complying with the requirements of Section 351.049, before discharging a prisoner serving a sentence in a county jail, the sheriff of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copy of the prisoner's birth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copy of the prisoner's social security card;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document described by Subdivision (1), submit to the appropriate entity on behalf of the prisoner a request for the issuance of the applicable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as soon as is practicable to enable the sheriff to provide the prisoner with the applicable document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discharge of a prisoner that occurs on or after December 1, 2023.  A discharge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