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Garcia, Jones of Harris, Howard</w:t>
      </w:r>
      <w:r xml:space="preserve">
        <w:tab wTab="150" tlc="none" cTlc="0"/>
      </w:r>
      <w:r>
        <w:t xml:space="preserve">H.B.</w:t>
      </w:r>
      <w:r xml:space="preserve">
        <w:t> </w:t>
      </w:r>
      <w:r>
        <w:t xml:space="preserve">No.</w:t>
      </w:r>
      <w:r xml:space="preserve">
        <w:t> </w:t>
      </w:r>
      <w:r>
        <w:t xml:space="preserve">1429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family violence and household member for purposes of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56B.003(6) and (7), Code of Criminal Procedure, are amended to read as follows:</w:t>
      </w:r>
    </w:p>
    <w:p w:rsidR="003F3435" w:rsidRDefault="0032493E">
      <w:pPr>
        <w:spacing w:line="480" w:lineRule="auto"/>
        <w:ind w:firstLine="1440"/>
        <w:jc w:val="both"/>
      </w:pPr>
      <w:r>
        <w:t xml:space="preserve">(6)</w:t>
      </w:r>
      <w:r xml:space="preserve">
        <w:t> </w:t>
      </w:r>
      <w:r xml:space="preserve">
        <w:t> </w:t>
      </w:r>
      <w:r>
        <w:t xml:space="preserve">"Family violence"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abuse, as that term is defined by Sections 261.001(1)(A), (B), (C), (D), (E), (G), (H), (I), (J), (K), and (M), Family Code, by a member of a family or household toward a child of the family or household;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dating violence, as that term is defined by Section 71.0021</w:t>
      </w:r>
      <w:r>
        <w:t xml:space="preserve"> [</w:t>
      </w:r>
      <w:r>
        <w:rPr>
          <w:strike/>
        </w:rPr>
        <w:t xml:space="preserve">has the meaning assigned by Section 71.004(1)</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related by consanguinity or affinity to the victim;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resided in the same permanent household as the victim at the time that the criminally injurious conduct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