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88R6440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definitions of family violence and household member for purposes of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56B.003(6) and (7), Code of Criminal Procedure, are amended to read as follows:</w:t>
      </w:r>
    </w:p>
    <w:p w:rsidR="003F3435" w:rsidRDefault="0032493E">
      <w:pPr>
        <w:spacing w:line="480" w:lineRule="auto"/>
        <w:ind w:firstLine="1440"/>
        <w:jc w:val="both"/>
      </w:pPr>
      <w:r>
        <w:t xml:space="preserve">(6)</w:t>
      </w:r>
      <w:r xml:space="preserve">
        <w:t> </w:t>
      </w:r>
      <w:r xml:space="preserve">
        <w:t> </w:t>
      </w:r>
      <w:r>
        <w:t xml:space="preserve">"Family violence" has the meaning assigned by Section </w:t>
      </w:r>
      <w:r>
        <w:rPr>
          <w:u w:val="single"/>
        </w:rPr>
        <w:t xml:space="preserve">71.004</w:t>
      </w:r>
      <w:r>
        <w:t xml:space="preserve"> [</w:t>
      </w:r>
      <w:r>
        <w:rPr>
          <w:strike/>
        </w:rPr>
        <w:t xml:space="preserve">71.004(1)</w:t>
      </w:r>
      <w:r>
        <w:t xml:space="preserve">], Family Code.</w:t>
      </w:r>
    </w:p>
    <w:p w:rsidR="003F3435" w:rsidRDefault="0032493E">
      <w:pPr>
        <w:spacing w:line="480" w:lineRule="auto"/>
        <w:ind w:firstLine="1440"/>
        <w:jc w:val="both"/>
      </w:pPr>
      <w:r>
        <w:t xml:space="preserve">(7)</w:t>
      </w:r>
      <w:r xml:space="preserve">
        <w:t> </w:t>
      </w:r>
      <w:r xml:space="preserve">
        <w:t> </w:t>
      </w:r>
      <w:r>
        <w:t xml:space="preserve">"Household member" means an individual who[</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related by consanguinity or affinity to the victim;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resided in the same permanent household as the victim at the time that the criminally injurious conduct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