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88R108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staggering of terms of aldermen of the governing body of a Type A general-law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22.034,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aldermen of the governing body of a municipality  are not serving staggered terms of office as provided by Subsection (c), the governing body by majority vote may establish staggered terms by requiring the aldermen to draw lots.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