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Flores)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1434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staggering of terms of aldermen of the governing body of a Type A general-law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22.034, Local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aldermen of the governing body of a municipality  are not serving staggered terms of office as provided by Subsection (c), the governing body by majority vote may establish staggered terms by requiring the aldermen to draw lots.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