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88R20051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J. Johnson of Harris, Romero, Jr.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1435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1435: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Tinderholt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1435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family liaison officers in county jails.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511, Government Code, is amended by adding Section 511.024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511.024.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FAMILY LIAISON OFFICER.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require the sheriff of a county to designate at least one employee at the county jail to serve as a family liaison officer for the jail to facilitate communication between prisoners and their families.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making a designation under Subsection (a), the sheriff shall give preference to current employees with experience in social work, psychology, or a related field.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liaison officer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request, provide prisoners' families with information about the classification status, confinement status, and health of prisoners at the county jail;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prisoners'</w:t>
      </w:r>
      <w:r>
        <w:rPr>
          <w:u w:val="single"/>
        </w:rPr>
        <w:t xml:space="preserve"> </w:t>
      </w:r>
      <w:r>
        <w:rPr>
          <w:u w:val="single"/>
        </w:rPr>
        <w:t xml:space="preserve">families within a reasonable time about emergencies involving prisoners, such as a medical emergency or death;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prisoners within a reasonable time about emergencies involving their families, such as a medical emergency or death in the family, and provide prisoners with other necessary information relating to their families.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liaison officer may not disclose information under Subsection (c) about a prisoner's health unless the prisoner has authorized the release of the prisoner's medical information to that family member.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1435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