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88R26130 CXP/CJC-D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Buckley, Rogers</w:t>
      </w:r>
      <w:r xml:space="preserve">
        <w:tab wTab="150" tlc="none" cTlc="0"/>
      </w:r>
      <w:r>
        <w:t xml:space="preserve">H.B.</w:t>
      </w:r>
      <w:r xml:space="preserve">
        <w:t> </w:t>
      </w:r>
      <w:r>
        <w:t xml:space="preserve">No.</w:t>
      </w:r>
      <w:r xml:space="preserve">
        <w:t> </w:t>
      </w:r>
      <w:r>
        <w:t xml:space="preserve">1443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1443:</w:t>
      </w: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C.S.H.B.</w:t>
      </w:r>
      <w:r xml:space="preserve">
        <w:t> </w:t>
      </w:r>
      <w:r>
        <w:t xml:space="preserve">No.</w:t>
      </w:r>
      <w:r xml:space="preserve">
        <w:t> </w:t>
      </w:r>
      <w:r>
        <w:t xml:space="preserve">1443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certain wind-powered devices near certain aviation facilities and the receipt of certain ad valorem tax incentives for property on which such devices are constructed or installed;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320, Tax Code, is amended by adding Section 320.002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320.002.</w:t>
      </w:r>
      <w:r>
        <w:rPr>
          <w:u w:val="single"/>
        </w:rPr>
        <w:t xml:space="preserve"> </w:t>
      </w:r>
      <w:r>
        <w:rPr>
          <w:u w:val="single"/>
        </w:rPr>
        <w:t xml:space="preserve"> </w:t>
      </w:r>
      <w:r>
        <w:rPr>
          <w:u w:val="single"/>
        </w:rPr>
        <w:t xml:space="preserve">PROPERTY INELIGIBLE FOR TAX INCENTIVES.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"Military aviation facility" has the meaning assigned by Section 312.0021.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property" means a parcel of land that is located wholly or partly in a reinvestment zone, a new building constructed on the parcel of land, a new improvement erected or affixed on the parcel of land, or tangible personal property placed in service in the building or improvement or on the parcel of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"Wind-powered energy device" has the meaning assigned by Section 11.27.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owner of qualifying property may not receive an exemption from ad valorem taxation or a limitation on appraised value for the qualifying property under an agreement entered into under a law enacted as part of a program to encourage economic development in an area designated as a reinvestment zone if, on or after the date the agreement is entered into, a wind-powered energy device is installed or constructed on the qualifying property at a location that is within 25 nautical miles of the boundaries of a military aviation facility located in this state. </w:t>
      </w:r>
      <w:r>
        <w:rPr>
          <w:u w:val="single"/>
        </w:rPr>
        <w:t xml:space="preserve"> </w:t>
      </w:r>
      <w:r>
        <w:rPr>
          <w:u w:val="single"/>
        </w:rPr>
        <w:t xml:space="preserve">The prohibition provided by this subsection applies regardless of whether the wind-powered energy device is installed or constructed at a location that is in the reinvestment zone.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39.002, Utilities Code, as amended by Chapters 908 (H.B. 4492) and 950 (S.B. 1580),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39.159, 39.160, 39.203, 39.904, 39.9051, 39.9052, </w:t>
      </w:r>
      <w:r>
        <w:rPr>
          <w:u w:val="single"/>
        </w:rPr>
        <w:t xml:space="preserve">39.9056,</w:t>
      </w:r>
      <w:r>
        <w:t xml:space="preserve"> and 39.914(e), and Subchapters M and N,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39, Utilities Code, is amended by adding Section 39.9056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39.9056.</w:t>
      </w:r>
      <w:r>
        <w:rPr>
          <w:u w:val="single"/>
        </w:rPr>
        <w:t xml:space="preserve"> </w:t>
      </w:r>
      <w:r>
        <w:rPr>
          <w:u w:val="single"/>
        </w:rPr>
        <w:t xml:space="preserve"> </w:t>
      </w:r>
      <w:r>
        <w:rPr>
          <w:u w:val="single"/>
        </w:rPr>
        <w:t xml:space="preserve">OPERATION OF WIND-POWERED GENERATION FACILITY NEAR JOINT-USE AIRPORT.  (a)  In this section, "joint-use airport" means an airport: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owned or operated by a United States Army mobilization force generation installation;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which both military and civilian aircraft make shared use of the airfield;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provides air traffic control for all military and civilian aircraft operating within 60 nautical miles of the airport's boundaries.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power generation company or other person required by commission rule to register with the commission before generating electricity may not operate a wind-powered generation facility in the ERCOT power region at a location that is within 65 nautical miles of the boundaries of a joint-use airport 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cooperative or municipally owned utility may not operate a wind-powered generation facility in the ERCOT power region at a location that is within 65 nautical miles of the boundaries of a joint-use airport located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impose an administrative penalty under Section 15.023 on an electric cooperative or municipally owned utility that violates Subsection (c).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320.002, Tax Code, as added by this Act, applies only to ad valorem taxes imposed for a tax year beginning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39.9056, Utilities Code, as added by this Act, applies only to a wind-powered generation facility installed on or after the effective date of this Act. A wind-powered generation facility installed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To the extent of any conflict, Section 1 of this Act prevails over another Act of the 88th Legislature, Regular Session, 2023, regardless of the relative dates of enactment.</w:t>
      </w:r>
    </w:p>
    <w:p w:rsidR="003F3435" w:rsidRDefault="0032493E">
      <w:pPr>
        <w:spacing w:line="480" w:lineRule="auto"/>
        <w:ind w:firstLine="720"/>
        <w:jc w:val="both"/>
      </w:pPr>
      <w:r>
        <w:t xml:space="preserve">(b)</w:t>
      </w:r>
      <w:r xml:space="preserve">
        <w:t> </w:t>
      </w:r>
      <w:r xml:space="preserve">
        <w:t> </w:t>
      </w:r>
      <w:r>
        <w:t xml:space="preserve">It is the intent of the 88th Legislature, Regular Session, 2023, that the amendments made by Sections 2 and 3 of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