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1443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wind-powered generation facility near a joint-use airport.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39.002, Utilities Code, as amended by Chapters 908 (H.B. 4492) and 950 (S.B. 1580),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39.159, 39.160, 39.203, 39.904, 39.9051, 39.9052, </w:t>
      </w:r>
      <w:r>
        <w:rPr>
          <w:u w:val="single"/>
        </w:rPr>
        <w:t xml:space="preserve">39.9056,</w:t>
      </w:r>
      <w:r>
        <w:t xml:space="preserve"> and 39.914(e), and Subchapters M and N,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 39.9056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39.9056.</w:t>
      </w:r>
      <w:r>
        <w:rPr>
          <w:u w:val="single"/>
        </w:rPr>
        <w:t xml:space="preserve"> </w:t>
      </w:r>
      <w:r>
        <w:rPr>
          <w:u w:val="single"/>
        </w:rPr>
        <w:t xml:space="preserve"> </w:t>
      </w:r>
      <w:r>
        <w:rPr>
          <w:u w:val="single"/>
        </w:rPr>
        <w:t xml:space="preserve">OPERATION OF WIND-POWERED GENERATION FACILITY NEAR JOINT-USE AIRPORT.  (a)  In this section, "joint-use airport" means an airport: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owned or operated by a federal defense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which both military and civilian aircraft make shared use of the airfield;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provides air traffic control for all military and civilian aircraft operating within 60 nautical miles of the airport's boundaries.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power generation company or other person required by commission rule to register with the commission before generating electricity may not operate a wind-powered generation facility in the ERCOT power region at a location that is within 65 nautical miles of the boundaries of a joint-use airport 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cooperative or municipally owned utility may not operate a wind-powered generation facility in the ERCOT power region at a location that is within 65 nautical miles of the boundaries of a joint-use airport located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39.9056, Utilities Code, as added by this Act, applies only to a wind-powered generation facility installed on or after the effective date of this Act. A wind-powered generation facility installed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