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88R4187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local remote learning program offered by certain school districts or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29.9091, Education Code, is amended by amending Subsections (n) and (s) and adding Subsection (n-1)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Except as otherwise provided under Subsection (e)(3) </w:t>
      </w:r>
      <w:r>
        <w:rPr>
          <w:u w:val="single"/>
        </w:rPr>
        <w:t xml:space="preserve">or (n-1)</w:t>
      </w:r>
      <w:r>
        <w:t xml:space="preserve">, a student enrolled in a virtual course offered under a local remote learning program shall be counted toward the school district's or open-enrollment charter school's average daily attendance in the same manner as other district or school students.  The commissioner shall adopt rules providing for a method of taking attendance, once each school day, for students enrolled in a virtual course offered under a local remote learning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operates a local remote learning program is entitled to funding under Chapters 46 and 48 or Section 12.106 for a student's enrollment in a virtual course offered under the program only if the student successfully completes the course.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2026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