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88R4522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1464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preliminary examination periods for mental health protective custody and the criteria for and duration of certain court-ordered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accepted for a preliminary examination may be detained in custody for not longer than </w:t>
      </w:r>
      <w:r>
        <w:rPr>
          <w:u w:val="single"/>
        </w:rPr>
        <w:t xml:space="preserve">72</w:t>
      </w:r>
      <w:r>
        <w:t xml:space="preserve"> [</w:t>
      </w:r>
      <w:r>
        <w:rPr>
          <w:strike/>
        </w:rPr>
        <w:t xml:space="preserve">48</w:t>
      </w:r>
      <w:r>
        <w:t xml:space="preserve">] hours after the time the person is presented to the facility unless a written order for protective custody is obtained.</w:t>
      </w:r>
      <w:r xml:space="preserve">
        <w:t> </w:t>
      </w:r>
      <w:r xml:space="preserve">
        <w:t> </w:t>
      </w:r>
      <w:r>
        <w:t xml:space="preserve">The </w:t>
      </w:r>
      <w:r>
        <w:rPr>
          <w:u w:val="single"/>
        </w:rPr>
        <w:t xml:space="preserve">72-hour</w:t>
      </w:r>
      <w:r>
        <w:t xml:space="preserve"> [</w:t>
      </w:r>
      <w:r>
        <w:rPr>
          <w:strike/>
        </w:rPr>
        <w:t xml:space="preserve">48-hour</w:t>
      </w:r>
      <w:r>
        <w:t xml:space="preserve">] period allowed by this section includes any time the patient spends waiting in the facility for medical care before the person receives the preliminary examination.</w:t>
      </w:r>
      <w:r xml:space="preserve">
        <w:t> </w:t>
      </w:r>
      <w:r xml:space="preserve">
        <w:t> </w:t>
      </w:r>
      <w:r>
        <w:t xml:space="preserve">If the </w:t>
      </w:r>
      <w:r>
        <w:rPr>
          <w:u w:val="single"/>
        </w:rPr>
        <w:t xml:space="preserve">72-hour</w:t>
      </w:r>
      <w:r>
        <w:t xml:space="preserve"> [</w:t>
      </w:r>
      <w:r>
        <w:rPr>
          <w:strike/>
        </w:rPr>
        <w:t xml:space="preserve">48-hour</w:t>
      </w:r>
      <w:r>
        <w:t xml:space="preserve">] period ends on a Saturday, Sunday, legal holiday, or before 4 p.m. on the first succeeding business day, the person may be detained until 4 p.m. on the first succeeding business day. If the </w:t>
      </w:r>
      <w:r>
        <w:rPr>
          <w:u w:val="single"/>
        </w:rPr>
        <w:t xml:space="preserve">72-hour</w:t>
      </w:r>
      <w:r>
        <w:t xml:space="preserve"> [</w:t>
      </w:r>
      <w:r>
        <w:rPr>
          <w:strike/>
        </w:rPr>
        <w:t xml:space="preserve">48-hour</w:t>
      </w:r>
      <w:r>
        <w:t xml:space="preserve">] period ends at a different time, the person may be detained only until 4 p.m. on the day the </w:t>
      </w:r>
      <w:r>
        <w:rPr>
          <w:u w:val="single"/>
        </w:rPr>
        <w:t xml:space="preserve">72-hour</w:t>
      </w:r>
      <w:r>
        <w:t xml:space="preserve"> [</w:t>
      </w:r>
      <w:r>
        <w:rPr>
          <w:strike/>
        </w:rPr>
        <w:t xml:space="preserve">48-hour</w:t>
      </w:r>
      <w:r>
        <w:t xml:space="preserve">] period ends.</w:t>
      </w:r>
      <w:r xml:space="preserve">
        <w:t> </w:t>
      </w:r>
      <w:r xml:space="preserve">
        <w:t> </w:t>
      </w:r>
      <w:r>
        <w:t xml:space="preserve">If extremely hazardous weather conditions exist or a disaster occurs, the presiding judge or magistrate may, by written order made each day, extend by an additional 24 hours the period during which the person may be detained.</w:t>
      </w:r>
      <w:r xml:space="preserve">
        <w:t> </w:t>
      </w:r>
      <w:r xml:space="preserve">
        <w:t> </w:t>
      </w:r>
      <w:r>
        <w:t xml:space="preserve">The written order must declare that an emergency exists because of the weather or the occurrence of a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574.034(a)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rPr>
          <w:u w:val="single"/>
        </w:rPr>
        <w:t xml:space="preserve">poses a substantial risk of causing</w:t>
      </w:r>
      <w:r>
        <w:t xml:space="preserve"> [</w:t>
      </w:r>
      <w:r>
        <w:rPr>
          <w:strike/>
        </w:rPr>
        <w:t xml:space="preserve">is likely to cause</w:t>
      </w:r>
      <w:r>
        <w:t xml:space="preserve">] serious harm to the proposed patient</w:t>
      </w:r>
      <w:r>
        <w:rPr>
          <w:u w:val="single"/>
        </w:rPr>
        <w:t xml:space="preserve">, as evidenced by serious threats of attempting suicide, a suicide attempt, or other significant self-inflicted bodily harm</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poses a substantial risk of causing</w:t>
      </w:r>
      <w:r>
        <w:t xml:space="preserve"> [</w:t>
      </w:r>
      <w:r>
        <w:rPr>
          <w:strike/>
        </w:rPr>
        <w:t xml:space="preserve">is likely to cause</w:t>
      </w:r>
      <w:r>
        <w:t xml:space="preserve">] serious harm to others</w:t>
      </w:r>
      <w:r>
        <w:rPr>
          <w:u w:val="single"/>
        </w:rPr>
        <w:t xml:space="preserve">, as evidenced by violent behavior directed toward others</w:t>
      </w:r>
      <w:r>
        <w:t xml:space="preserv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experiencing severe mental or physical deterioration that, without immediate intervention, poses a substantial risk of severe impairment or injury to the proposed patient</w:t>
      </w:r>
      <w:r>
        <w:t xml:space="preserve">.</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severe deterioration of the proposed patient that poses a substantial risk of impairment or injury to the proposed patient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574.0345(c),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An order for temporary outpatient mental health services shall state that treatment is authorized for not longer than </w:t>
      </w:r>
      <w:r>
        <w:rPr>
          <w:u w:val="single"/>
        </w:rPr>
        <w:t xml:space="preserve">90</w:t>
      </w:r>
      <w:r>
        <w:t xml:space="preserve"> </w:t>
      </w:r>
      <w:r>
        <w:t xml:space="preserve">[</w:t>
      </w:r>
      <w:r>
        <w:rPr>
          <w:strike/>
        </w:rPr>
        <w:t xml:space="preserve">45</w:t>
      </w:r>
      <w:r>
        <w:t xml:space="preserve">] days, except that the order may specify a period not to exceed </w:t>
      </w:r>
      <w:r>
        <w:rPr>
          <w:u w:val="single"/>
        </w:rPr>
        <w:t xml:space="preserve">180</w:t>
      </w:r>
      <w:r>
        <w:t xml:space="preserve"> [</w:t>
      </w:r>
      <w:r>
        <w:rPr>
          <w:strike/>
        </w:rPr>
        <w:t xml:space="preserve">90</w:t>
      </w:r>
      <w:r>
        <w:t xml:space="preserve">] days if the judge finds that the longer period is necessary.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574.035(a) and (e),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rPr>
          <w:u w:val="single"/>
        </w:rPr>
        <w:t xml:space="preserve">poses a substantial risk of causing</w:t>
      </w:r>
      <w:r>
        <w:t xml:space="preserve"> [</w:t>
      </w:r>
      <w:r>
        <w:rPr>
          <w:strike/>
        </w:rPr>
        <w:t xml:space="preserve">is likely to cause</w:t>
      </w:r>
      <w:r>
        <w:t xml:space="preserve">] serious harm to the proposed patient</w:t>
      </w:r>
      <w:r>
        <w:rPr>
          <w:u w:val="single"/>
        </w:rPr>
        <w:t xml:space="preserve">, as evidenced by serious threats of attempting suicide, a suicide attempt, or other significant self-inflicted bodily harm</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poses a substantial risk of causing</w:t>
      </w:r>
      <w:r>
        <w:t xml:space="preserve"> [</w:t>
      </w:r>
      <w:r>
        <w:rPr>
          <w:strike/>
        </w:rPr>
        <w:t xml:space="preserve">is likely to cause</w:t>
      </w:r>
      <w:r>
        <w:t xml:space="preserve">] serious harm to others</w:t>
      </w:r>
      <w:r>
        <w:rPr>
          <w:u w:val="single"/>
        </w:rPr>
        <w:t xml:space="preserve">, as evidenced by violent behavior directed toward others</w:t>
      </w:r>
      <w:r>
        <w:t xml:space="preserv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experiencing severe mental or physical deterioration that, without immediate intervention, poses a substantial risk of severe impairment or injury to the proposed patient;</w:t>
      </w:r>
      <w:r>
        <w:t xml:space="preserve"> </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46B, Code of Criminal Procedure, for at least 60 consecutive days during the preceding 12 months.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severe deterioration of the proposed patient that poses a substantial risk of impairment or injury to the proposed patient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573.021, Health and Safety Code, applies to an emergency detention that begins on or after the effective date of this Act. An emergency detention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Chapter 574, Health and Safety Code, apply only to a proceeding for court-ordered mental health services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