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Garcia</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1466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2023; May</w:t>
      </w:r>
      <w:r xml:space="preserve">
        <w:t> </w:t>
      </w:r>
      <w:r>
        <w:t xml:space="preserve">9,</w:t>
      </w:r>
      <w:r xml:space="preserve">
        <w:t> </w:t>
      </w:r>
      <w:r>
        <w:t xml:space="preserve">2023, read first time and referred to Committee on Business &amp; Commerce; May</w:t>
      </w:r>
      <w:r xml:space="preserve">
        <w:t> </w:t>
      </w:r>
      <w:r>
        <w:t xml:space="preserve">19,</w:t>
      </w:r>
      <w:r xml:space="preserve">
        <w:t> </w:t>
      </w:r>
      <w:r>
        <w:t xml:space="preserve">2023, reported favorably by the following vote:</w:t>
      </w:r>
      <w:r>
        <w:t xml:space="preserve"> </w:t>
      </w:r>
      <w:r>
        <w:t xml:space="preserve"> </w:t>
      </w:r>
      <w:r>
        <w:t xml:space="preserve">Yeas 10,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certain continuing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6002.159,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commissioner may not adopt a rule that excludes or devalues a signed or otherwise substantially verifiable certificate of training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applicable to the areas of work authorized by the relevant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issued by a training program or school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nationally recognized;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under the Occupations Code or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adopt a rule that requires more than eight hours of</w:t>
      </w:r>
      <w:r>
        <w:t xml:space="preserve"> [</w:t>
      </w:r>
      <w:r>
        <w:rPr>
          <w:strike/>
        </w:rPr>
        <w:t xml:space="preserve">Participation in the</w:t>
      </w:r>
      <w:r>
        <w:t xml:space="preserve">] continuing education </w:t>
      </w:r>
      <w:r>
        <w:rPr>
          <w:u w:val="single"/>
        </w:rPr>
        <w:t xml:space="preserve">for any license renewal period</w:t>
      </w:r>
      <w:r>
        <w:t xml:space="preserve"> [</w:t>
      </w:r>
      <w:r>
        <w:rPr>
          <w:strike/>
        </w:rPr>
        <w:t xml:space="preserve">programs is voluntary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