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88R6358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assignment of traffic citations to justices of the peace in large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351, Local Government Code, is amended by adding Section 351.905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351.905.</w:t>
      </w:r>
      <w:r>
        <w:rPr>
          <w:u w:val="single"/>
        </w:rPr>
        <w:t xml:space="preserve"> </w:t>
      </w:r>
      <w:r>
        <w:rPr>
          <w:u w:val="single"/>
        </w:rPr>
        <w:t xml:space="preserve"> </w:t>
      </w:r>
      <w:r>
        <w:rPr>
          <w:u w:val="single"/>
        </w:rPr>
        <w:t xml:space="preserve">ASSIGNMENT OF TRAFFIC CITATIONS TO JUSTICES OF THE PEACE IN LARGE COUNTIES.  A sheriff and each constable in a county with a population of one million or more shall ensure that, in each county fiscal year, each justice of the peace in the county is assigned, to the extent possible, an equal number of citations for a violation of highway law under Title 7, Transportation Code, issued by county law enforcement in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351.905, Local Government Code, as added by this Act, applies only to a county fiscal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