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88R7393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1470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legislative leave for certain peace officers commissioned by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Parks and Wildlife Code, is amended by adding Section 11.0183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11.0183.</w:t>
      </w:r>
      <w:r>
        <w:rPr>
          <w:u w:val="single"/>
        </w:rPr>
        <w:t xml:space="preserve"> </w:t>
      </w:r>
      <w:r>
        <w:rPr>
          <w:u w:val="single"/>
        </w:rPr>
        <w:t xml:space="preserve"> </w:t>
      </w:r>
      <w:r>
        <w:rPr>
          <w:u w:val="single"/>
        </w:rPr>
        <w:t xml:space="preserve">DONATION OF ACCRUED COMPENSATORY TIME OR ACCRUED ANNUAL LEAVE FOR LEGISLATIVE PURPOSES.  (a)  The director shall allow a peace officer commissioned by the department to voluntarily transfer to a legislative leave pool up to eight hours of compensatory time or annual leave per year earned by the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or the director's designee shall administer the legislative leave pool.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and prescribe procedures relating to the operation of the legislative leave pool.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or the director's designee shall credit the legislative leave pool with the amount of time contributed by a peace officer commissioned by the department and deduct a corresponding amount of time from the peace officer's earned compensatory time or annual leave as if the peace officer had used the time for personal purposes.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commissioned by the department is entitled to use time contributed to the legislative leave pool if the peace officer uses the time for legislative leave on behalf of a law enforcement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the peace officer's employment with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at least 300 active or retired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governed by a board of directors.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or the director's designee shall transfer time from the pool to the peace officer and credit the time to the peace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peace officer commissioned by the department may only withdraw time from the legislative leave pool in coordination with and with the consent of the president or designee of the law enforcement association described in Subsection (e).  A peace officer may not draw more than 80 hours from the pool in a 160-hour work cycle and may not draw more than 480 hours from the pool in a fiscal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peace officer commissioned by the department shall use time from the legislative leave pool in accordance with rules adopted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