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under the owner-builder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2306.753(b),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w:t>
      </w:r>
      <w:r>
        <w:rPr>
          <w:u w:val="single"/>
        </w:rPr>
        <w:t xml:space="preserve">80</w:t>
      </w:r>
      <w:r>
        <w:t xml:space="preserve"> [</w:t>
      </w:r>
      <w:r>
        <w:rPr>
          <w:strike/>
        </w:rPr>
        <w:t xml:space="preserve">60</w:t>
      </w:r>
      <w:r>
        <w:t xml:space="preserve">]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2306.756;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1472 was passed by the House on April 14, 2023, by the following vote:</w:t>
      </w:r>
      <w:r xml:space="preserve">
        <w:t> </w:t>
      </w:r>
      <w:r xml:space="preserve">
        <w:t> </w:t>
      </w:r>
      <w:r>
        <w:t xml:space="preserve">Yeas 98, Nays 45,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1472 was passed by the Senate on May 17, 2023, by the following vote:</w:t>
      </w:r>
      <w:r xml:space="preserve">
        <w:t> </w:t>
      </w:r>
      <w:r xml:space="preserve">
        <w:t> </w:t>
      </w:r>
      <w:r>
        <w:t xml:space="preserve">Yeas 22, Nays 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