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1476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w:t>
      </w:r>
      <w:r>
        <w:t xml:space="preserve"> limitation on the salary paid to officers and employees of this state and political subdivisions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659, Government Code, is amended by adding Section 659.0111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659.0111.</w:t>
      </w:r>
      <w:r>
        <w:rPr>
          <w:u w:val="single"/>
        </w:rPr>
        <w:t xml:space="preserve"> </w:t>
      </w:r>
      <w:r>
        <w:rPr>
          <w:u w:val="single"/>
        </w:rPr>
        <w:t xml:space="preserve"> </w:t>
      </w:r>
      <w:r>
        <w:rPr>
          <w:u w:val="single"/>
        </w:rPr>
        <w:t xml:space="preserve">LIMITATION ON SALARY. </w:t>
      </w:r>
      <w:r>
        <w:rPr>
          <w:u w:val="single"/>
        </w:rPr>
        <w:t xml:space="preserve"> </w:t>
      </w:r>
      <w:r>
        <w:rPr>
          <w:u w:val="single"/>
        </w:rPr>
        <w:t xml:space="preserve">Notwithstanding any other law, the salary of a state officer or employee may not exceed the amount of the salary set by the biennial appropriations act for the governor.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180, Local Government Code, is amended by adding Section 180.010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180.010.</w:t>
      </w:r>
      <w:r>
        <w:rPr>
          <w:u w:val="single"/>
        </w:rPr>
        <w:t xml:space="preserve"> </w:t>
      </w:r>
      <w:r>
        <w:rPr>
          <w:u w:val="single"/>
        </w:rPr>
        <w:t xml:space="preserve"> </w:t>
      </w:r>
      <w:r>
        <w:rPr>
          <w:u w:val="single"/>
        </w:rPr>
        <w:t xml:space="preserve">LIMITATION ON SALARY FOR OFFICER OR EMPLOYEE OF POLITICAL SUBDIVISION.  (a) </w:t>
      </w:r>
      <w:r>
        <w:rPr>
          <w:u w:val="single"/>
        </w:rPr>
        <w:t xml:space="preserve"> </w:t>
      </w:r>
      <w:r>
        <w:rPr>
          <w:u w:val="single"/>
        </w:rPr>
        <w:t xml:space="preserve">In this section, "political  subdivision" means a county, municipality, special district, school district, junior college district, or other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salary of an officer or employee of a political subdivision may not exceed the amount of the salary set by the General Appropriations Act for the governor.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to a salary agreement or an employment contract that is entered into on or after September 1, 2023. A salary agreement or an employment contract that is entered into before September 1, 2023, is governed by the law as it existed at the time the agreement or contract was entered into, and the former law remains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state fiscal biennium that begins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