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88R5758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1477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and acceptance of a high school student identification card and certain other forms of identification as identification for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25, Education Code, is amended by adding Section 25.902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25.902.</w:t>
      </w:r>
      <w:r>
        <w:rPr>
          <w:u w:val="single"/>
        </w:rPr>
        <w:t xml:space="preserve"> </w:t>
      </w:r>
      <w:r>
        <w:rPr>
          <w:u w:val="single"/>
        </w:rPr>
        <w:t xml:space="preserve"> </w:t>
      </w:r>
      <w:r>
        <w:rPr>
          <w:u w:val="single"/>
        </w:rPr>
        <w:t xml:space="preserve">STUDENT IDENTIFICATION CARDS.  A school district or open-enrollment charter school shall issue to each high school student enrolled in the district or school a student identification card that includes the student's: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photograph;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date of birth.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63.0101(a),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student identification card issued to the person by a public or private high school or institution of higher education that contains the person's photograph and date of birth;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identification card, form, or certificate containing the person's photograph and date of birth issued by this state, an agency or political subdivision of this state, or the United States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25.902,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