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88R2962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electronic voter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13, Election Code, is amended by adding Section 13.009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VOTER REGISTRATION.  (a)  The secretary of state shall implement a program to allow a person to complete a voter registration application over the Internet from the official state Internet website.  The secretary of state and the Department of Public Safety Internet websites must provide a link to the application on the official state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for electronic voter registration who has a state-issued driver's license or personal identification card, regardless of whether the license or card is unexpired,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attest to the truth of the information on the application by affirmatively accepting the information as true;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affirmatively consent to the use of the signature on the applicant's driver's license or personal identification card for voter registration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for electronic voter registration who does not have a state-issued driver's license or personal identification card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attest to the truth of the information provided on the application by affirmatively accepting the information as true;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print a registration application from the Internet website the applicant is using to register, sign the application, and mail it to the registrar.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application submitted under Subsection (b), the program must require that a digital copy of the applicant's signature be obtained from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application submitted under Subsection (c), the program must provide the applicant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registration application that the applicant can print from the registration website, sign, and mail to the registrar as required under Subsection (c)(2);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about how the applicant can obtain a driver's license or personal identification card from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submitted under this section is considered for all purposes an application submitted by mail under this title.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adopt rules as necessary to implement this section, including rules to provide for security measures to ensure the accuracy and integrity of applications submitted electronically.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adopted under Subsection (g) must require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Internet website through which a person may complete a voter registration application include a description of the offense described by Section 13.007 in a conspicuous location on the website near the place where the person begins or submits the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electronic Internet portal project is used to authenticate the identity of a person who submits an application electronically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