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Ramos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1485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staff development requirements for public educators regarding suicide prevention and other mental health training.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 Section 21.451(d-1),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(d-1)</w:t>
      </w:r>
      <w:r xml:space="preserve">
        <w:t> </w:t>
      </w:r>
      <w:r xml:space="preserve">
        <w:t> </w:t>
      </w:r>
      <w:r>
        <w:t xml:space="preserve">The training required by Subsection (d)(3):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must: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be provided: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on an annual basis, as part of a new employee orientation, to all new school district and open-enrollment charter school educators;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to existing school district and open-enrollment charter school educators on a schedule adopted by the agency by rule </w:t>
      </w:r>
      <w:r>
        <w:rPr>
          <w:u w:val="single"/>
        </w:rPr>
        <w:t xml:space="preserve">that requires an educator to be trained at least  once every two years</w:t>
      </w:r>
      <w: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use a best practice-based program recommended by the Health and Human Services Commission in coordination with the agency under Section 38.351;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include two or more listed topics together.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