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88R3629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1490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prioritization of a pregnant individual's health when providing health care treatments;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170A, Health and Safety Code, is amended by adding Section 170A.008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170A.008.</w:t>
      </w:r>
      <w:r>
        <w:rPr>
          <w:u w:val="single"/>
        </w:rPr>
        <w:t xml:space="preserve"> </w:t>
      </w:r>
      <w:r>
        <w:rPr>
          <w:u w:val="single"/>
        </w:rPr>
        <w:t xml:space="preserve"> </w:t>
      </w:r>
      <w:r>
        <w:rPr>
          <w:u w:val="single"/>
        </w:rPr>
        <w:t xml:space="preserve">PRIORITIZATION OF PREGNANT INDIVIDUAL'S HEALTH.  (a)  Notwithstanding any other law, a physician or health care practitioner shall prioritize the health of a pregnant individual over the health of the fetus the individual is carrying when recommending a health care treatment for the individual, regardless of whether the treatment poses a risk of injury or death to the fetus.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pregnant individual retains the right to agree to or refuse a health care treatment regardless of the physician's or health care practitioner's recommendation under Subsection (a), and the physician or practitioner may provide the treatment only after  obtaining the individual's informed consent.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appropriate licensing authority may impose an administrative penalty against a physician or health care practitioner who violates this section in the same manner and using the same procedures as the authority uses to impose an administrative penalty against a physician or practitioner who violates the authority's licensing or other regulatory laws or rules.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