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88R7491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interpretation of certain laws protecting the free exercise of religion.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110.009(b), Civil Practice and Remedies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protection of religious freedom afforded by this chapter is in addition to the protections provided under federal law and the constitutions of this state and the United States. </w:t>
      </w:r>
      <w:r>
        <w:t xml:space="preserve"> </w:t>
      </w:r>
      <w:r>
        <w:t xml:space="preserve">This chapter may not be construed to affect or interpret Section 4, 5, 6, </w:t>
      </w:r>
      <w:r>
        <w:rPr>
          <w:u w:val="single"/>
        </w:rPr>
        <w:t xml:space="preserve">6-a,</w:t>
      </w:r>
      <w:r>
        <w:t xml:space="preserve"> or 7, Article 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amendment by this Act of Section 110.009, Civil Practice and Remedies Code, is intended to clarify rather than change existing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1494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