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court-appointed guardians ad litem, attorneys ad litem, and amicus attorneys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107.002(b) and (i), Family Code, are amended to read as follows:</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rPr>
          <w:u w:val="single"/>
        </w:rPr>
        <w:t xml:space="preserve">not later than the seventh business day</w:t>
      </w:r>
      <w:r>
        <w:t xml:space="preserve"> [</w:t>
      </w:r>
      <w:r>
        <w:rPr>
          <w:strike/>
        </w:rPr>
        <w:t xml:space="preserve">within a reasonable time</w:t>
      </w:r>
      <w:r>
        <w:t xml:space="preserve">] after </w:t>
      </w:r>
      <w:r>
        <w:rPr>
          <w:u w:val="single"/>
        </w:rPr>
        <w:t xml:space="preserve">the date of</w:t>
      </w:r>
      <w:r>
        <w:t xml:space="preserve">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 expressed objectives;</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t xml:space="preserve">(i)</w:t>
      </w:r>
      <w:r xml:space="preserve">
        <w:t> </w:t>
      </w:r>
      <w:r xml:space="preserve">
        <w:t> </w:t>
      </w:r>
      <w:r>
        <w:t xml:space="preserve">A guardian ad litem appointed to represent a child in the managing conservatorship of the Department of Family and Protective Services shall, </w:t>
      </w:r>
      <w:r>
        <w:rPr>
          <w:u w:val="single"/>
        </w:rPr>
        <w:t xml:space="preserve">at least 72 hours</w:t>
      </w:r>
      <w:r>
        <w:t xml:space="preserve"> before each scheduled hearing under Chapter 263, determine whether the child's educational needs and goals have been identified and addressed.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107.003(a),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to represent a child or an amicus attorney appointed to assist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t>
      </w:r>
      <w:r>
        <w:rPr>
          <w:u w:val="single"/>
        </w:rPr>
        <w:t xml:space="preserve">not later than the seventh business day</w:t>
      </w:r>
      <w:r>
        <w:t xml:space="preserve"> [</w:t>
      </w:r>
      <w:r>
        <w:rPr>
          <w:strike/>
        </w:rPr>
        <w:t xml:space="preserve">within a reasonable time</w:t>
      </w:r>
      <w:r>
        <w:t xml:space="preserve">] after </w:t>
      </w:r>
      <w:r>
        <w:rPr>
          <w:u w:val="single"/>
        </w:rPr>
        <w:t xml:space="preserve">the date of</w:t>
      </w:r>
      <w:r>
        <w:t xml:space="preserve"> the appointment, interview:</w:t>
      </w:r>
    </w:p>
    <w:p w:rsidR="003F3435" w:rsidRDefault="0032493E">
      <w:pPr>
        <w:spacing w:line="480" w:lineRule="auto"/>
        <w:ind w:firstLine="2880"/>
        <w:jc w:val="both"/>
      </w:pPr>
      <w:r>
        <w:t xml:space="preserve">(i)</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child's history and condition, including any foster parent of the child;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seek to elicit in a developmentally appropriate manner the child's expressed objectives of representation;</w:t>
      </w:r>
    </w:p>
    <w:p w:rsidR="003F3435" w:rsidRDefault="0032493E">
      <w:pPr>
        <w:spacing w:line="480" w:lineRule="auto"/>
        <w:ind w:firstLine="2160"/>
        <w:jc w:val="both"/>
      </w:pPr>
      <w:r>
        <w:t xml:space="preserve">(C)</w:t>
      </w:r>
      <w:r xml:space="preserve">
        <w:t> </w:t>
      </w:r>
      <w:r xml:space="preserve">
        <w:t> </w:t>
      </w:r>
      <w:r>
        <w:t xml:space="preserve">consider the impact on the child in formulating the attorney's presentation of the child's expressed objectives of representation to the court;</w:t>
      </w:r>
    </w:p>
    <w:p w:rsidR="003F3435" w:rsidRDefault="0032493E">
      <w:pPr>
        <w:spacing w:line="480" w:lineRule="auto"/>
        <w:ind w:firstLine="2160"/>
        <w:jc w:val="both"/>
      </w:pPr>
      <w:r>
        <w:t xml:space="preserve">(D)</w:t>
      </w:r>
      <w:r xml:space="preserve">
        <w:t> </w:t>
      </w:r>
      <w:r xml:space="preserve">
        <w:t> </w:t>
      </w:r>
      <w:r>
        <w:t xml:space="preserve">investigate the facts of the case to the extent the attorney considers appropriate;</w:t>
      </w:r>
    </w:p>
    <w:p w:rsidR="003F3435" w:rsidRDefault="0032493E">
      <w:pPr>
        <w:spacing w:line="480" w:lineRule="auto"/>
        <w:ind w:firstLine="2160"/>
        <w:jc w:val="both"/>
      </w:pPr>
      <w:r>
        <w:t xml:space="preserve">(E)</w:t>
      </w:r>
      <w:r xml:space="preserve">
        <w:t> </w:t>
      </w:r>
      <w:r xml:space="preserve">
        <w:t> </w:t>
      </w:r>
      <w:r>
        <w:t xml:space="preserve">obtain and review copies of relevant records relating to the child as provided by Section 107.006;</w:t>
      </w:r>
    </w:p>
    <w:p w:rsidR="003F3435" w:rsidRDefault="0032493E">
      <w:pPr>
        <w:spacing w:line="480" w:lineRule="auto"/>
        <w:ind w:firstLine="2160"/>
        <w:jc w:val="both"/>
      </w:pPr>
      <w:r>
        <w:t xml:space="preserve">(F)</w:t>
      </w:r>
      <w:r xml:space="preserve">
        <w:t> </w:t>
      </w:r>
      <w:r xml:space="preserve">
        <w:t> </w:t>
      </w:r>
      <w:r>
        <w:t xml:space="preserve">participate in the conduct of the litigation to the same extent as an attorney for a party;</w:t>
      </w:r>
    </w:p>
    <w:p w:rsidR="003F3435" w:rsidRDefault="0032493E">
      <w:pPr>
        <w:spacing w:line="480" w:lineRule="auto"/>
        <w:ind w:firstLine="2160"/>
        <w:jc w:val="both"/>
      </w:pPr>
      <w:r>
        <w:t xml:space="preserve">(G)</w:t>
      </w:r>
      <w:r xml:space="preserve">
        <w:t> </w:t>
      </w:r>
      <w:r xml:space="preserve">
        <w:t> </w:t>
      </w:r>
      <w:r>
        <w:t xml:space="preserve">take any action consistent with the child's interests that the attorney considers necessary to expedite the proceedings;</w:t>
      </w:r>
    </w:p>
    <w:p w:rsidR="003F3435" w:rsidRDefault="0032493E">
      <w:pPr>
        <w:spacing w:line="480" w:lineRule="auto"/>
        <w:ind w:firstLine="2160"/>
        <w:jc w:val="both"/>
      </w:pPr>
      <w:r>
        <w:t xml:space="preserve">(H)</w:t>
      </w:r>
      <w:r xml:space="preserve">
        <w:t> </w:t>
      </w:r>
      <w:r xml:space="preserve">
        <w:t> </w:t>
      </w:r>
      <w:r>
        <w:t xml:space="preserve">encourage settlement and the use of alternative forms of dispute resolution; and</w:t>
      </w:r>
    </w:p>
    <w:p w:rsidR="003F3435" w:rsidRDefault="0032493E">
      <w:pPr>
        <w:spacing w:line="480" w:lineRule="auto"/>
        <w:ind w:firstLine="2160"/>
        <w:jc w:val="both"/>
      </w:pPr>
      <w:r>
        <w:t xml:space="preserve">(I)</w:t>
      </w:r>
      <w:r xml:space="preserve">
        <w:t> </w:t>
      </w:r>
      <w:r xml:space="preserve">
        <w:t> </w:t>
      </w:r>
      <w:r>
        <w:t xml:space="preserve">review and sign, or decline to sign, a proposed or agreed order affecting the child;</w:t>
      </w:r>
    </w:p>
    <w:p w:rsidR="003F3435" w:rsidRDefault="0032493E">
      <w:pPr>
        <w:spacing w:line="480" w:lineRule="auto"/>
        <w:ind w:firstLine="1440"/>
        <w:jc w:val="both"/>
      </w:pPr>
      <w:r>
        <w:t xml:space="preserve">(2)</w:t>
      </w:r>
      <w:r xml:space="preserve">
        <w:t> </w:t>
      </w:r>
      <w:r xml:space="preserve">
        <w:t> </w:t>
      </w:r>
      <w:r>
        <w:t xml:space="preserve">must be trained in child advocacy or have experience determined by the court to be equivalent to that training; and</w:t>
      </w:r>
    </w:p>
    <w:p w:rsidR="003F3435" w:rsidRDefault="0032493E">
      <w:pPr>
        <w:spacing w:line="480" w:lineRule="auto"/>
        <w:ind w:firstLine="1440"/>
        <w:jc w:val="both"/>
      </w:pPr>
      <w:r>
        <w:t xml:space="preserve">(3)</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child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concerning the child conducted by the Department of Family and Protective Services;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107.004(d-1), (d-2), and (d-3), Family Code, are amended to read as follows:</w:t>
      </w:r>
    </w:p>
    <w:p w:rsidR="003F3435" w:rsidRDefault="0032493E">
      <w:pPr>
        <w:spacing w:line="480" w:lineRule="auto"/>
        <w:ind w:firstLine="720"/>
        <w:jc w:val="both"/>
      </w:pPr>
      <w:r>
        <w:t xml:space="preserve">(d-1)</w:t>
      </w:r>
      <w:r xml:space="preserve">
        <w:t> </w:t>
      </w:r>
      <w:r xml:space="preserve">
        <w:t> </w:t>
      </w:r>
      <w:r>
        <w:t xml:space="preserve">A meeting required by Subsection (d) must take place:</w:t>
      </w:r>
    </w:p>
    <w:p w:rsidR="003F3435" w:rsidRDefault="0032493E">
      <w:pPr>
        <w:spacing w:line="480" w:lineRule="auto"/>
        <w:ind w:firstLine="1440"/>
        <w:jc w:val="both"/>
      </w:pPr>
      <w:r>
        <w:t xml:space="preserve">(1)</w:t>
      </w:r>
      <w:r xml:space="preserve">
        <w:t> </w:t>
      </w:r>
      <w:r xml:space="preserve">
        <w:t> </w:t>
      </w:r>
      <w:r>
        <w:rPr>
          <w:u w:val="single"/>
        </w:rPr>
        <w:t xml:space="preserve">at least 72 hours</w:t>
      </w:r>
      <w:r>
        <w:t xml:space="preserve"> [</w:t>
      </w:r>
      <w:r>
        <w:rPr>
          <w:strike/>
        </w:rPr>
        <w:t xml:space="preserve">a sufficient time</w:t>
      </w:r>
      <w:r>
        <w:t xml:space="preserve">] before the hearing to allow the attorney ad litem to prepare for the hearing in accordance with the child's expressed objectives of representation; and</w:t>
      </w:r>
    </w:p>
    <w:p w:rsidR="003F3435" w:rsidRDefault="0032493E">
      <w:pPr>
        <w:spacing w:line="480" w:lineRule="auto"/>
        <w:ind w:firstLine="1440"/>
        <w:jc w:val="both"/>
      </w:pPr>
      <w:r>
        <w:t xml:space="preserve">(2)</w:t>
      </w:r>
      <w:r xml:space="preserve">
        <w:t> </w:t>
      </w:r>
      <w:r xml:space="preserve">
        <w:t> </w:t>
      </w:r>
      <w:r>
        <w:t xml:space="preserve">in a private setting that allows for confidential communications between the attorney ad litem and the child or individual with whom the child ordinarily resides, as applicable.</w:t>
      </w:r>
    </w:p>
    <w:p w:rsidR="003F3435" w:rsidRDefault="0032493E">
      <w:pPr>
        <w:spacing w:line="480" w:lineRule="auto"/>
        <w:ind w:firstLine="720"/>
        <w:jc w:val="both"/>
      </w:pPr>
      <w:r>
        <w:t xml:space="preserve">(d-2)</w:t>
      </w:r>
      <w:r xml:space="preserve">
        <w:t> </w:t>
      </w:r>
      <w:r xml:space="preserve">
        <w:t> </w:t>
      </w:r>
      <w:r>
        <w:t xml:space="preserve">An attorney ad litem appointed to represent a child in the managing conservatorship of the Department of Family and Protective Services or a child who is the subject of a proceeding under Chapter 264 shall, </w:t>
      </w:r>
      <w:r>
        <w:rPr>
          <w:u w:val="single"/>
        </w:rPr>
        <w:t xml:space="preserve">at least 72 hours</w:t>
      </w:r>
      <w:r>
        <w:t xml:space="preserve"> before each scheduled hearing under Chapter 263 or 264, determine whether the child's educational needs and goals have been identified and addressed.</w:t>
      </w:r>
    </w:p>
    <w:p w:rsidR="003F3435" w:rsidRDefault="0032493E">
      <w:pPr>
        <w:spacing w:line="480" w:lineRule="auto"/>
        <w:ind w:firstLine="720"/>
        <w:jc w:val="both"/>
      </w:pPr>
      <w:r>
        <w:t xml:space="preserve">(d-3)</w:t>
      </w:r>
      <w:r xml:space="preserve">
        <w:t> </w:t>
      </w:r>
      <w:r xml:space="preserve">
        <w:t> </w:t>
      </w:r>
      <w:r>
        <w:t xml:space="preserve">An attorney ad litem appointed to represent a child in the managing conservatorship of the Department of Family and Protective Services or a child who is the subject of a proceeding under Chapter 264 shall</w:t>
      </w:r>
      <w:r>
        <w:rPr>
          <w:u w:val="single"/>
        </w:rPr>
        <w:t xml:space="preserve">, at least once each month,</w:t>
      </w:r>
      <w:r>
        <w:t xml:space="preserve"> [</w:t>
      </w:r>
      <w:r>
        <w:rPr>
          <w:strike/>
        </w:rPr>
        <w:t xml:space="preserve">periodically continue to</w:t>
      </w:r>
      <w:r>
        <w:t xml:space="preserve">] review the child's safety and well-being, including any effects of trauma to the child, and take appropriate action, including requesting a review hearing when necessary to address an issue of concern.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107.011(a),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subchapter, in a suit filed by a governmental entity seeking termination of the parent-child relationship or the appointment of a conservator for a child, the court shall appoint a guardian ad litem to represent the best interests of the child immediately after the filing of the petition but </w:t>
      </w:r>
      <w:r>
        <w:rPr>
          <w:u w:val="single"/>
        </w:rPr>
        <w:t xml:space="preserve">not later than 72 hours</w:t>
      </w:r>
      <w:r>
        <w:t xml:space="preserve"> before the full adversary hearing.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107.012, Family Code, is amended to read as follows:</w:t>
      </w:r>
    </w:p>
    <w:p w:rsidR="003F3435" w:rsidRDefault="0032493E">
      <w:pPr>
        <w:spacing w:line="480" w:lineRule="auto"/>
        <w:ind w:firstLine="720"/>
        <w:jc w:val="both"/>
      </w:pPr>
      <w:r>
        <w:t xml:space="preserve">Sec.</w:t>
      </w:r>
      <w:r xml:space="preserve">
        <w:t> </w:t>
      </w:r>
      <w:r>
        <w:t xml:space="preserve">107.012.</w:t>
      </w:r>
      <w:r xml:space="preserve">
        <w:t> </w:t>
      </w:r>
      <w:r xml:space="preserve">
        <w:t> </w:t>
      </w:r>
      <w:r>
        <w:t xml:space="preserve">MANDATORY APPOINTMENT OF ATTORNEY AD LITEM FOR CHILD.  In a suit filed by a governmental entity requesting termination of the parent-child relationship or to be named conservator of a child, the court shall appoint an attorney ad litem to represent the interests of the child immediately after the filing, but </w:t>
      </w:r>
      <w:r>
        <w:rPr>
          <w:u w:val="single"/>
        </w:rPr>
        <w:t xml:space="preserve">not later than 72 hours</w:t>
      </w:r>
      <w:r>
        <w:t xml:space="preserve"> before the full adversary hearing, to ensure adequate representation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107.0131(a),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t>
      </w:r>
      <w:r>
        <w:rPr>
          <w:u w:val="single"/>
        </w:rPr>
        <w:t xml:space="preserve">not later than the seventh business day</w:t>
      </w:r>
      <w:r>
        <w:t xml:space="preserve"> [</w:t>
      </w:r>
      <w:r>
        <w:rPr>
          <w:strike/>
        </w:rPr>
        <w:t xml:space="preserve">within a reasonable time</w:t>
      </w:r>
      <w:r>
        <w:t xml:space="preserve">] after </w:t>
      </w:r>
      <w:r>
        <w:rPr>
          <w:u w:val="single"/>
        </w:rPr>
        <w:t xml:space="preserve">the date of</w:t>
      </w:r>
      <w:r>
        <w:t xml:space="preserve">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w:t>
      </w:r>
      <w:r>
        <w:rPr>
          <w:u w:val="single"/>
        </w:rPr>
        <w:t xml:space="preserve">with the parent at least 72 hours</w:t>
      </w:r>
      <w:r>
        <w:t xml:space="preserve"> before each court hearing [</w:t>
      </w:r>
      <w:r>
        <w:rPr>
          <w:strike/>
        </w:rPr>
        <w:t xml:space="preserve">with the parent</w:t>
      </w:r>
      <w:r>
        <w:t xml:space="preserve">],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suit affecting the parent-child relationship filed on or after the effective date of this Act.  A suit affecting the parent-child relationship filed before that date is governed by the law in effect on the date the suit was filed,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