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statute of limitations for the offense of abandoning or endangering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w:t>
      </w:r>
      <w:r>
        <w:rPr>
          <w:strike/>
        </w:rPr>
        <w:t xml:space="preserve">abandoning or endangering a child; or</w:t>
      </w:r>
    </w:p>
    <w:p w:rsidR="003F3435" w:rsidRDefault="0032493E">
      <w:pPr>
        <w:spacing w:line="480" w:lineRule="auto"/>
        <w:ind w:firstLine="2160"/>
        <w:jc w:val="both"/>
      </w:pPr>
      <w:r>
        <w:t xml:space="preserve">[</w:t>
      </w:r>
      <w:r>
        <w:rPr>
          <w:strike/>
        </w:rPr>
        <w:t xml:space="preserve">(E)</w:t>
      </w:r>
      <w:r>
        <w:t xml:space="preserve">] 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abandoning or endangering a child;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1506 was passed by the House on May 2, 2023, by the following vote:</w:t>
      </w:r>
      <w:r xml:space="preserve">
        <w:t> </w:t>
      </w:r>
      <w:r xml:space="preserve">
        <w:t> </w:t>
      </w:r>
      <w:r>
        <w:t xml:space="preserve">Yeas 142,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1506 was passed by the Senate on May 24,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