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88R20850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1515</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1515:</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1515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office establishes an advisory committee to make recommendations with regard to the aerospace and aviation industry, the governor shall appoint members of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w:t>
      </w:r>
      <w:r>
        <w:rPr>
          <w:strike/>
        </w:rPr>
        <w:t xml:space="preserve">, as amended by Article 2, Chapter 1134, Acts of the 77th Legislature, Regular Session, 2001</w:t>
      </w:r>
      <w:r>
        <w:t xml:space="preserve">]; </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investment earnings under the Texas product development fund under Section 489.211;</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investment earnings under the Texas small business incubator fund under Section 489.212; and</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489.211(a)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product development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product fund.</w:t>
      </w:r>
      <w:r xml:space="preserve">
        <w:t> </w:t>
      </w:r>
      <w:r xml:space="preserve">
        <w:t> </w:t>
      </w:r>
      <w:r>
        <w:t xml:space="preserve">The product fund contains a program account, an interest and sinking account, and other accounts that the bank authorizes to be created and maintained.</w:t>
      </w:r>
      <w:r xml:space="preserve">
        <w:t> </w:t>
      </w:r>
      <w:r xml:space="preserve">
        <w:t> </w:t>
      </w:r>
      <w:r>
        <w:t xml:space="preserve">Money in the product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product fund must be transferred to the fund created under Section 489.105.</w:t>
      </w:r>
      <w:r xml:space="preserve">
        <w:t> </w:t>
      </w:r>
      <w:r xml:space="preserve">
        <w:t> </w:t>
      </w:r>
      <w:r>
        <w:t xml:space="preserve">Notwithstanding any other provision of this subchapter, any money in the product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489.212(a)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small business incubator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small business fund.</w:t>
      </w:r>
      <w:r xml:space="preserve">
        <w:t> </w:t>
      </w:r>
      <w:r xml:space="preserve">
        <w:t> </w:t>
      </w:r>
      <w:r>
        <w:t xml:space="preserve">The small business fund contains a project account, an interest and sinking account, and other accounts that the bank authorizes to be created and maintained.</w:t>
      </w:r>
      <w:r xml:space="preserve">
        <w:t> </w:t>
      </w:r>
      <w:r xml:space="preserve">
        <w:t> </w:t>
      </w:r>
      <w:r>
        <w:t xml:space="preserve">Money in the small business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small business fund must be transferred to the fund created under Section 489.105.</w:t>
      </w:r>
      <w:r xml:space="preserve">
        <w:t> </w:t>
      </w:r>
      <w:r xml:space="preserve">
        <w:t> </w:t>
      </w:r>
      <w:r>
        <w:t xml:space="preserve">Notwithstanding any other provision of this subchapter, any money in the small business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489.215(b),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w:t>
      </w:r>
      <w:r xml:space="preserve">
        <w:t> </w:t>
      </w:r>
      <w:r xml:space="preserve">
        <w:t> </w:t>
      </w:r>
      <w:r>
        <w:t xml:space="preserve">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w:t>
      </w:r>
      <w:r xml:space="preserve">
        <w:t> </w:t>
      </w:r>
      <w:r xml:space="preserve">
        <w:t> </w:t>
      </w:r>
      <w:r>
        <w:t xml:space="preserve">This section does not make confidential information in an account, voucher, or contract relating to the receipt or expenditure of public funds by the bank, board, or the department or its successor under this subchapter. </w:t>
      </w:r>
      <w:r>
        <w:rPr>
          <w:u w:val="single"/>
        </w:rPr>
        <w:t xml:space="preserve">This section applies to any information collected in winding up the product development and small business incubator program investment portfolio under Subchapter D-1.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program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financing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financing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winding up process under Subsection (b), the bank shall deposit any remaining investment earnings to the credit of the Texas economic development bank fund, as required under Sections 489.211 and 489.212.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(d-2), (e), (e-1), and (e-2);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489.211(c), 489.212(c), 489.213, 489.214, 489.215(c), 489.216, and 489.217.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member of an advisory committee repealed by this Act may be reappointed to serve as a member of a new advisory committee established under Section 481.0211,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