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88R7761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 Oliverson, Herrero, Jetton,</w:t>
      </w:r>
      <w:r xml:space="preserve">
        <w:tab wTab="150" tlc="none" cTlc="0"/>
      </w:r>
      <w:r>
        <w:t xml:space="preserve">H.B.</w:t>
      </w:r>
      <w:r xml:space="preserve">
        <w:t> </w:t>
      </w:r>
      <w:r>
        <w:t xml:space="preserve">No.</w:t>
      </w:r>
      <w:r xml:space="preserve">
        <w:t> </w:t>
      </w:r>
      <w:r>
        <w:t xml:space="preserve">1524</w:t>
      </w:r>
    </w:p>
    <w:p w:rsidR="003F3435" w:rsidRDefault="0032493E">
      <w:pPr>
        <w:jc w:val="both"/>
      </w:pPr>
      <w:r xml:space="preserve">
        <w:t> </w:t>
      </w:r>
      <w:r xml:space="preserve">
        <w:t> </w:t>
      </w:r>
      <w:r xml:space="preserve">
        <w:t> </w:t>
      </w:r>
      <w:r xml:space="preserve">
        <w:t> </w:t>
      </w:r>
      <w:r xml:space="preserve">
        <w:t> </w:t>
      </w:r>
      <w:r>
        <w:t xml:space="preserve">Leo-Wilson,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body worn cameras by correctional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493, Government Code, is amended by adding Section 493.035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493.035.</w:t>
      </w:r>
      <w:r>
        <w:rPr>
          <w:u w:val="single"/>
        </w:rPr>
        <w:t xml:space="preserve"> </w:t>
      </w:r>
      <w:r>
        <w:rPr>
          <w:u w:val="single"/>
        </w:rPr>
        <w:t xml:space="preserve"> </w:t>
      </w:r>
      <w:r>
        <w:rPr>
          <w:u w:val="single"/>
        </w:rPr>
        <w:t xml:space="preserve">BODY WORN CAMERA POLICY.  (a)  In this section, "body worn camera" has the meaning assigned by Section 1701.651,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adopt a policy for the use of body worn cameras by correctional officers at facilities operated by or under contract with the department.  The policy must require that each correctional officer be equipped with a body worn camera during the officer's shift and require each officer to keep the camera activated during the performance of the officer's duties.</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Department of Criminal Justice shall adopt the policy required by Section 493.035, Government Code, as added by this Act, not later than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