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88R7761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1524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body worn cameras by correctional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BODY WORN CAMERA POLICY.  (a)  In this section, "body worn camera" has the meaning assigned by Section 1701.651,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a policy for the use of body worn cameras by correctional officers at facilities operated by or under contract with the department.  The policy must require that each correctional officer be equipped with a body worn camera during the officer's shift and require each officer to keep the camera activated during the performance of the officer's duties.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Criminal Justice shall adopt the policy required by Section 493.035, Government Code, as added by this Act, not later than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