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dentists and certain employee benefit plans and health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1451.206,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benefit plan or health insurance policy provider or issuer may not recover an overpayment made to a dentist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dentist: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objects to the request in accordance with the procedure described by Subsection (e) and exhausts all rights of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1451.2065, Insurance Code, is amended to read as follows:</w:t>
      </w:r>
    </w:p>
    <w:p w:rsidR="003F3435" w:rsidRDefault="0032493E">
      <w:pPr>
        <w:spacing w:line="480" w:lineRule="auto"/>
        <w:ind w:firstLine="720"/>
        <w:jc w:val="both"/>
      </w:pPr>
      <w:r>
        <w:t xml:space="preserve">Sec.</w:t>
      </w:r>
      <w:r xml:space="preserve">
        <w:t> </w:t>
      </w:r>
      <w:r>
        <w:t xml:space="preserve">1451.2065.</w:t>
      </w:r>
      <w:r xml:space="preserve">
        <w:t> </w:t>
      </w:r>
      <w:r xml:space="preserve">
        <w:t> </w:t>
      </w:r>
      <w:r>
        <w:t xml:space="preserve">CONTRACTS WITH DENTISTS.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w:t>
      </w:r>
      <w:r>
        <w:t xml:space="preserve"> [</w:t>
      </w:r>
      <w:r>
        <w:rPr>
          <w:strike/>
        </w:rPr>
        <w:t xml:space="preserve">, "covered</w:t>
      </w:r>
      <w:r>
        <w:t xml:space="preserve">]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deductible;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copayment;</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coinsurance;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waiting period;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an annual or lifetime maximum limit;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a frequency limitation; [</w:t>
      </w:r>
      <w:r>
        <w:rPr>
          <w:strike/>
        </w:rPr>
        <w:t xml:space="preserve">or</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an alternative benefit payment</w:t>
      </w:r>
      <w:r>
        <w:rPr>
          <w:u w:val="single"/>
        </w:rPr>
        <w:t xml:space="preserv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other limitation</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limit the fee the dentist may charge for a service that is not a covered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provision that 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allows the insurer to disallow a service, resulting in denial of payment to the dentist for a service that ordinarily would have been covered;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the dentist from billing for and collecting the amount owed from the patient for that service if there is a dental necessity, as defined by Section 32.054, Human Resources Code, for that service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1451, Insurance Code, is amended by adding Section 1451.209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1451.209.</w:t>
      </w:r>
      <w:r>
        <w:rPr>
          <w:u w:val="single"/>
        </w:rPr>
        <w:t xml:space="preserve"> </w:t>
      </w:r>
      <w:r>
        <w:rPr>
          <w:u w:val="single"/>
        </w:rPr>
        <w:t xml:space="preserve"> </w:t>
      </w:r>
      <w:r>
        <w:rPr>
          <w:u w:val="single"/>
        </w:rPr>
        <w:t xml:space="preserve">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network contract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contracting entity is an employee benefit plan or health insurance policy provider or issuer, the provider network contract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provider network contract is entered into;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third party's right to a dentist's discounted rate ceases as of the termination date of the provider network contract;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access to a provider network contract is granted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provider, issuer, or entity publicly discloses the names of the affiliates on its Internet website;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child health plan program under Chapter 62, Health and Safety Code, or the health benefits plan for children under Chapter 63,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Medicaid managed care program operated under Chapter 533, Government Code, or a Medicaid program operated under Chapter 32, Human Resources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w:t>
      </w:r>
      <w:r>
        <w:t xml:space="preserve"> </w:t>
      </w:r>
      <w:r>
        <w:t xml:space="preserve">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1527 was passed by the House on April 28, 2023, by the following vote:</w:t>
      </w:r>
      <w:r xml:space="preserve">
        <w:t> </w:t>
      </w:r>
      <w:r xml:space="preserve">
        <w:t> </w:t>
      </w:r>
      <w:r>
        <w:t xml:space="preserve">Yeas 139, Nays 5, 2 present, not voting; and that the House concurred in Senate amendments to H.B. No. 1527 on May 24,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1527 was passed by the Senate, with amendments,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