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88R2204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dentists and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1451.2065, Insurance Code, is amended to read as follows:</w:t>
      </w:r>
    </w:p>
    <w:p w:rsidR="003F3435" w:rsidRDefault="0032493E">
      <w:pPr>
        <w:spacing w:line="480" w:lineRule="auto"/>
        <w:ind w:firstLine="720"/>
        <w:jc w:val="both"/>
      </w:pPr>
      <w:r>
        <w:t xml:space="preserve">Sec.</w:t>
      </w:r>
      <w:r xml:space="preserve">
        <w:t> </w:t>
      </w:r>
      <w:r>
        <w:t xml:space="preserve">1451.2065.</w:t>
      </w:r>
      <w:r xml:space="preserve">
        <w:t> </w:t>
      </w:r>
      <w:r xml:space="preserve">
        <w:t> </w:t>
      </w:r>
      <w:r>
        <w:t xml:space="preserve">CONTRACTS WITH DENTISTS.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w:t>
      </w:r>
      <w:r>
        <w:t xml:space="preserve"> [</w:t>
      </w:r>
      <w:r>
        <w:rPr>
          <w:strike/>
        </w:rPr>
        <w:t xml:space="preserve">, "covered</w:t>
      </w:r>
      <w:r>
        <w:t xml:space="preserve">]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deductible;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copayment;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coinsurance;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waiting period;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an annual or lifetime maximum limit;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frequency limitation; or</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limit the fee the dentist may charge for a service that is not a covered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provision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insurer to deny payment to the dentist for a covered service provided to a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the dentist from billing for and collecting the amount owed for the service from the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1451, Insurance Code, is amended by adding Section 1451.209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1451.209.</w:t>
      </w:r>
      <w:r>
        <w:rPr>
          <w:u w:val="single"/>
        </w:rPr>
        <w:t xml:space="preserve"> </w:t>
      </w:r>
      <w:r>
        <w:rPr>
          <w:u w:val="single"/>
        </w:rPr>
        <w:t xml:space="preserve"> </w:t>
      </w:r>
      <w:r>
        <w:rPr>
          <w:u w:val="single"/>
        </w:rPr>
        <w:t xml:space="preserve">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network contract or each employee benefit plan or health insurance policy for which the provider network contract was entered into, leased, or acquired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contracting entity is an employee benefit plan or health insurance policy provider or issuer, the entity's plan or policy for which the provider network contract is leased or acquired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provider network contract is entered into;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third party's right to a dentist's discounted rate ceases as of the termination date of the provider network contract;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access to a provider network contract is granted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provider, issuer, or entity publicly discloses the names of the affiliates on its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child health plan program under Chapter 62, Health and Safety Code, or the health benefits plan for children under Chapter 63,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Medicaid managed care program operated under Chapter 533, Government Code, or a Medicaid program operated under Chapter 32,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w:t>
      </w:r>
      <w:r>
        <w:t xml:space="preserve"> </w:t>
      </w:r>
      <w:r>
        <w:t xml:space="preserve">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