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1529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in certain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262, Family Code, is amended by adding Section 262.2011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262.2011.</w:t>
      </w:r>
      <w:r>
        <w:rPr>
          <w:u w:val="single"/>
        </w:rPr>
        <w:t xml:space="preserve"> </w:t>
      </w:r>
      <w:r>
        <w:rPr>
          <w:u w:val="single"/>
        </w:rPr>
        <w:t xml:space="preserve"> </w:t>
      </w:r>
      <w:r>
        <w:rPr>
          <w:u w:val="single"/>
        </w:rPr>
        <w:t xml:space="preserve">CONFIRMATION OF REQUIRED NOTICE PROVIDED.  (a) </w:t>
      </w:r>
      <w:r>
        <w:rPr>
          <w:u w:val="single"/>
        </w:rPr>
        <w:t xml:space="preserve"> </w:t>
      </w:r>
      <w:r>
        <w:rPr>
          <w:u w:val="single"/>
        </w:rPr>
        <w:t xml:space="preserve">Before commencement of the full adversary hearing, the court shall, in writing and in open court, confirm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interviewing an alleged perpetrator, the Department of Family and Protective Services informed the person of the person's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an audio or video recording of the interview under Section 261.3027;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request an administrative review of the Department of Family and Protective Services' findings under Section 261.3091;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possible after initiating an investigation of a parent or other person having legal custody of a child, the Department of Family and Protective Services provided the person with the information required by Section 261.307.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the court determines that an alleged perpetrator was not fully informed of the person's rights described by Subsection (a)(1) or provided the information described by Subsection (a)(2), the court may not consider any evidence gathered from or provided by the alleged perpetrator during the investigation or interview in the full adversary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not exclude evidence under Subsection (b) if the court finds that excluding that evidence may endanger the child's physical health or significantly impair the child's emotional development.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suit affecting the parent-child relationship that is filed on or after the effective date of this Act.  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