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recognizing persons who separated from military service solely on the basis of sexual orientation as honorably discharged veterans under state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434, Government Code, is amended by adding Subchapter J to read as follows:</w:t>
      </w:r>
    </w:p>
    <w:p w:rsidR="003F3435" w:rsidRDefault="0032493E">
      <w:pPr>
        <w:spacing w:line="480" w:lineRule="auto"/>
        <w:jc w:val="center"/>
      </w:pPr>
      <w:r>
        <w:rPr>
          <w:u w:val="single"/>
        </w:rPr>
        <w:t xml:space="preserve">SUBCHAPTER J. BENEFITS, RIGHTS, PRIVILEGES, AND IMMUNITIES OF CERTAIN VETERANS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military service" has the meaning assigned by Section 437.001.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"DD Form 214" means any edition of United States Department of Defense Form 214 (Certificate of Release or Discharge from Active Duty).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"Military discharge record" means a document issued to a service member of the armed forces of the United States or the Texas Military Forces showing the service member's release or discharge from active military service. </w:t>
      </w:r>
      <w:r>
        <w:rPr>
          <w:u w:val="single"/>
        </w:rPr>
        <w:t xml:space="preserve"> </w:t>
      </w:r>
      <w:r>
        <w:rPr>
          <w:u w:val="single"/>
        </w:rPr>
        <w:t xml:space="preserve">The term includes DD Form 214.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"Separation code"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alphanumeric code found in block 26 of the edition of DD Form 214 dated August 2009;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numeric code commonly known as a separation program code used on a previous edition of DD Form 214.</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434.452.</w:t>
      </w:r>
      <w:r>
        <w:rPr>
          <w:u w:val="single"/>
        </w:rPr>
        <w:t xml:space="preserve"> </w:t>
      </w:r>
      <w:r>
        <w:rPr>
          <w:u w:val="single"/>
        </w:rPr>
        <w:t xml:space="preserve"> </w:t>
      </w:r>
      <w:r>
        <w:rPr>
          <w:u w:val="single"/>
        </w:rPr>
        <w:t xml:space="preserve">CERTAIN PERSONS CONSIDERED HONORABLY DISCHARGED.  (a) </w:t>
      </w:r>
      <w:r>
        <w:rPr>
          <w:u w:val="single"/>
        </w:rPr>
        <w:t xml:space="preserve"> </w:t>
      </w:r>
      <w:r>
        <w:rPr>
          <w:u w:val="single"/>
        </w:rPr>
        <w:t xml:space="preserve">The State of Texas recognizes a person as having been honorably discharged from active military service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according to the person's military discharge record, the person on the basis of the person's sexual orientation: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dishonorably discharged;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resigned, retired, or otherwise separated from active military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any previous characterization of service, the person would have otherwise received a more favorable character of discharge.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a person is considered to have been dishonorably discharged or to have resigned, retired, or otherwise separated from active military service on the basis of the person's sexual orientation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following separation codes appear on the person's DD Form 214 and represent a ground on which the person was released or discharged from the armed forces of the United 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BML;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BRA;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BRB;</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BRC;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DLC;</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GKC;</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GLC;</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GML;</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GRA;</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GRB;</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GRC;</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HLC;</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HRA;</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HRB;</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HRC;</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HWL;</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JB;</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JJB;</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JKC;</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JLC;</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JML;</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JRA;</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JRB;</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JRC;</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KRA;</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KRB;</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KRC;</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RA;</w:t>
      </w:r>
    </w:p>
    <w:p w:rsidR="003F3435" w:rsidRDefault="0032493E">
      <w:pPr>
        <w:spacing w:line="480" w:lineRule="auto"/>
        <w:ind w:firstLine="2160"/>
        <w:jc w:val="both"/>
      </w:pPr>
      <w:r>
        <w:rPr>
          <w:u w:val="single"/>
        </w:rPr>
        <w:t xml:space="preserve">(DD)</w:t>
      </w:r>
      <w:r>
        <w:rPr>
          <w:u w:val="single"/>
        </w:rPr>
        <w:t xml:space="preserve"> </w:t>
      </w:r>
      <w:r>
        <w:rPr>
          <w:u w:val="single"/>
        </w:rPr>
        <w:t xml:space="preserve"> </w:t>
      </w:r>
      <w:r>
        <w:rPr>
          <w:u w:val="single"/>
        </w:rPr>
        <w:t xml:space="preserve">RC;</w:t>
      </w:r>
    </w:p>
    <w:p w:rsidR="003F3435" w:rsidRDefault="0032493E">
      <w:pPr>
        <w:spacing w:line="480" w:lineRule="auto"/>
        <w:ind w:firstLine="2160"/>
        <w:jc w:val="both"/>
      </w:pPr>
      <w:r>
        <w:rPr>
          <w:u w:val="single"/>
        </w:rPr>
        <w:t xml:space="preserve">(EE)</w:t>
      </w:r>
      <w:r>
        <w:rPr>
          <w:u w:val="single"/>
        </w:rPr>
        <w:t xml:space="preserve"> </w:t>
      </w:r>
      <w:r>
        <w:rPr>
          <w:u w:val="single"/>
        </w:rPr>
        <w:t xml:space="preserve"> </w:t>
      </w:r>
      <w:r>
        <w:rPr>
          <w:u w:val="single"/>
        </w:rPr>
        <w:t xml:space="preserve">249;</w:t>
      </w:r>
    </w:p>
    <w:p w:rsidR="003F3435" w:rsidRDefault="0032493E">
      <w:pPr>
        <w:spacing w:line="480" w:lineRule="auto"/>
        <w:ind w:firstLine="2160"/>
        <w:jc w:val="both"/>
      </w:pPr>
      <w:r>
        <w:rPr>
          <w:u w:val="single"/>
        </w:rPr>
        <w:t xml:space="preserve">(FF)</w:t>
      </w:r>
      <w:r>
        <w:rPr>
          <w:u w:val="single"/>
        </w:rPr>
        <w:t xml:space="preserve"> </w:t>
      </w:r>
      <w:r>
        <w:rPr>
          <w:u w:val="single"/>
        </w:rPr>
        <w:t xml:space="preserve"> </w:t>
      </w:r>
      <w:r>
        <w:rPr>
          <w:u w:val="single"/>
        </w:rPr>
        <w:t xml:space="preserve">250;</w:t>
      </w:r>
    </w:p>
    <w:p w:rsidR="003F3435" w:rsidRDefault="0032493E">
      <w:pPr>
        <w:spacing w:line="480" w:lineRule="auto"/>
        <w:ind w:firstLine="2160"/>
        <w:jc w:val="both"/>
      </w:pPr>
      <w:r>
        <w:rPr>
          <w:u w:val="single"/>
        </w:rPr>
        <w:t xml:space="preserve">(GG)</w:t>
      </w:r>
      <w:r>
        <w:rPr>
          <w:u w:val="single"/>
        </w:rPr>
        <w:t xml:space="preserve"> </w:t>
      </w:r>
      <w:r>
        <w:rPr>
          <w:u w:val="single"/>
        </w:rPr>
        <w:t xml:space="preserve"> </w:t>
      </w:r>
      <w:r>
        <w:rPr>
          <w:u w:val="single"/>
        </w:rPr>
        <w:t xml:space="preserve">251;</w:t>
      </w:r>
    </w:p>
    <w:p w:rsidR="003F3435" w:rsidRDefault="0032493E">
      <w:pPr>
        <w:spacing w:line="480" w:lineRule="auto"/>
        <w:ind w:firstLine="2160"/>
        <w:jc w:val="both"/>
      </w:pPr>
      <w:r>
        <w:rPr>
          <w:u w:val="single"/>
        </w:rPr>
        <w:t xml:space="preserve">(HH)</w:t>
      </w:r>
      <w:r>
        <w:rPr>
          <w:u w:val="single"/>
        </w:rPr>
        <w:t xml:space="preserve"> </w:t>
      </w:r>
      <w:r>
        <w:rPr>
          <w:u w:val="single"/>
        </w:rPr>
        <w:t xml:space="preserve"> </w:t>
      </w:r>
      <w:r>
        <w:rPr>
          <w:u w:val="single"/>
        </w:rPr>
        <w:t xml:space="preserve">252;</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253;</w:t>
      </w:r>
    </w:p>
    <w:p w:rsidR="003F3435" w:rsidRDefault="0032493E">
      <w:pPr>
        <w:spacing w:line="480" w:lineRule="auto"/>
        <w:ind w:firstLine="2160"/>
        <w:jc w:val="both"/>
      </w:pPr>
      <w:r>
        <w:rPr>
          <w:u w:val="single"/>
        </w:rPr>
        <w:t xml:space="preserve">(JJ)</w:t>
      </w:r>
      <w:r>
        <w:rPr>
          <w:u w:val="single"/>
        </w:rPr>
        <w:t xml:space="preserve"> </w:t>
      </w:r>
      <w:r>
        <w:rPr>
          <w:u w:val="single"/>
        </w:rPr>
        <w:t xml:space="preserve"> </w:t>
      </w:r>
      <w:r>
        <w:rPr>
          <w:u w:val="single"/>
        </w:rPr>
        <w:t xml:space="preserve">255;</w:t>
      </w:r>
    </w:p>
    <w:p w:rsidR="003F3435" w:rsidRDefault="0032493E">
      <w:pPr>
        <w:spacing w:line="480" w:lineRule="auto"/>
        <w:ind w:firstLine="2160"/>
        <w:jc w:val="both"/>
      </w:pPr>
      <w:r>
        <w:rPr>
          <w:u w:val="single"/>
        </w:rPr>
        <w:t xml:space="preserve">(KK)</w:t>
      </w:r>
      <w:r>
        <w:rPr>
          <w:u w:val="single"/>
        </w:rPr>
        <w:t xml:space="preserve"> </w:t>
      </w:r>
      <w:r>
        <w:rPr>
          <w:u w:val="single"/>
        </w:rPr>
        <w:t xml:space="preserve"> </w:t>
      </w:r>
      <w:r>
        <w:rPr>
          <w:u w:val="single"/>
        </w:rPr>
        <w:t xml:space="preserve">256;</w:t>
      </w:r>
    </w:p>
    <w:p w:rsidR="003F3435" w:rsidRDefault="0032493E">
      <w:pPr>
        <w:spacing w:line="480" w:lineRule="auto"/>
        <w:ind w:firstLine="2160"/>
        <w:jc w:val="both"/>
      </w:pPr>
      <w:r>
        <w:rPr>
          <w:u w:val="single"/>
        </w:rPr>
        <w:t xml:space="preserve">(LL)</w:t>
      </w:r>
      <w:r>
        <w:rPr>
          <w:u w:val="single"/>
        </w:rPr>
        <w:t xml:space="preserve"> </w:t>
      </w:r>
      <w:r>
        <w:rPr>
          <w:u w:val="single"/>
        </w:rPr>
        <w:t xml:space="preserve"> </w:t>
      </w:r>
      <w:r>
        <w:rPr>
          <w:u w:val="single"/>
        </w:rPr>
        <w:t xml:space="preserve">257; or</w:t>
      </w:r>
    </w:p>
    <w:p w:rsidR="003F3435" w:rsidRDefault="0032493E">
      <w:pPr>
        <w:spacing w:line="480" w:lineRule="auto"/>
        <w:ind w:firstLine="2160"/>
        <w:jc w:val="both"/>
      </w:pPr>
      <w:r>
        <w:rPr>
          <w:u w:val="single"/>
        </w:rPr>
        <w:t xml:space="preserve">(MM)</w:t>
      </w:r>
      <w:r>
        <w:rPr>
          <w:u w:val="single"/>
        </w:rPr>
        <w:t xml:space="preserve"> </w:t>
      </w:r>
      <w:r>
        <w:rPr>
          <w:u w:val="single"/>
        </w:rPr>
        <w:t xml:space="preserve"> </w:t>
      </w:r>
      <w:r>
        <w:rPr>
          <w:u w:val="single"/>
        </w:rPr>
        <w:t xml:space="preserve">586;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ground for release or discharge from active military service based on sexual orientation, including a predecessor or successor to a separation code listed in Subdivision (1), appears on the person's military discharge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434.453.</w:t>
      </w:r>
      <w:r>
        <w:rPr>
          <w:u w:val="single"/>
        </w:rPr>
        <w:t xml:space="preserve"> </w:t>
      </w:r>
      <w:r>
        <w:rPr>
          <w:u w:val="single"/>
        </w:rPr>
        <w:t xml:space="preserve"> </w:t>
      </w:r>
      <w:r>
        <w:rPr>
          <w:u w:val="single"/>
        </w:rPr>
        <w:t xml:space="preserve">ENTITLEMENT TO BENEFITS, RIGHTS, PRIVILEGES, AND IMMUNITIES. </w:t>
      </w:r>
      <w:r>
        <w:rPr>
          <w:u w:val="single"/>
        </w:rPr>
        <w:t xml:space="preserve"> </w:t>
      </w:r>
      <w:r>
        <w:rPr>
          <w:u w:val="single"/>
        </w:rPr>
        <w:t xml:space="preserve">Notwithstanding any other law, a person recognized as having been honorably discharged under Section 434.452(a) is entitled to all benefits, rights, privileges, and immunities provided by this state or under state law to an honorably discharged veteran.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434.454.</w:t>
      </w:r>
      <w:r>
        <w:rPr>
          <w:u w:val="single"/>
        </w:rPr>
        <w:t xml:space="preserve"> </w:t>
      </w:r>
      <w:r>
        <w:rPr>
          <w:u w:val="single"/>
        </w:rPr>
        <w:t xml:space="preserve"> </w:t>
      </w:r>
      <w:r>
        <w:rPr>
          <w:u w:val="single"/>
        </w:rPr>
        <w:t xml:space="preserve">PROOF OF CERTAIN DISCHARGE.  For purposes of this subchapter, an agency or officer of this state shall accept a copy of a person's DD Form 214  identified or commonly known as "Service 2 Copy" or "Member 4 Copy."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