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4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atewide standing order prescribing opioid antagon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3.102, Health and Safety Code, is amended by adding Subsections (a-1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of state health services or, if the commissioner is not a physician, the chief medical executive of the Department of State Health Services shall issue a statewide standing order prescribing an opioid antagonist to a person described by Subsection (a)(1) or 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or the chief medical executive who prescribes an opioid antagonist under a standing order as required under Subsection (a-1) has official immunity and may not be subject to any criminal or civil liability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ing the standing order prescribing the opioid antagonis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utcome resulting from the eventual administration of the opioid antagon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