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1554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of a beneficiary to a funeral director under a life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1103, Insurance Code, is amended by adding Subchapter E to read as follows:</w:t>
      </w:r>
    </w:p>
    <w:p w:rsidR="003F3435" w:rsidRDefault="0032493E">
      <w:pPr>
        <w:spacing w:line="480" w:lineRule="auto"/>
        <w:jc w:val="center"/>
      </w:pPr>
      <w:r>
        <w:rPr>
          <w:u w:val="single"/>
        </w:rPr>
        <w:t xml:space="preserve">SUBCHAPTER E.  DISCLOSURE TO FUNERAL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"Funeral director" has the meaning assigned by Section 651.001,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"Heir" and "personal representative" have the meanings assigned by Chapter 22, Estates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1103.202.</w:t>
      </w:r>
      <w:r>
        <w:rPr>
          <w:u w:val="single"/>
        </w:rPr>
        <w:t xml:space="preserve"> </w:t>
      </w:r>
      <w:r>
        <w:rPr>
          <w:u w:val="single"/>
        </w:rPr>
        <w:t xml:space="preserve"> </w:t>
      </w:r>
      <w:r>
        <w:rPr>
          <w:u w:val="single"/>
        </w:rPr>
        <w:t xml:space="preserve">APPLICABILITY OF SUBCHAPTER.  (a)  This subchapter applies only to a life insurance policy with a death benefit in an amount of not more than $15,000 issued in this state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reserve life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mutual assessment life insurance company;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stipulated premium life insurance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burial association;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fraternal benefit society.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only to a funeral director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directing a decedent's funeral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provided reasonably sufficient information by an heir, an heir's representative, or the personal representative of the decedent that the decedent is or may be an insured under a life insurance policy;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needs information from the issuer of the life insurance policy because an heir, heir's representative, or personal representative of the decedent is unaware or unable to provide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decedent was the owner of a life insurance policy;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identity of the designated beneficiary under the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1103.203.</w:t>
      </w:r>
      <w:r>
        <w:rPr>
          <w:u w:val="single"/>
        </w:rPr>
        <w:t xml:space="preserve"> </w:t>
      </w:r>
      <w:r>
        <w:rPr>
          <w:u w:val="single"/>
        </w:rPr>
        <w:t xml:space="preserve"> </w:t>
      </w:r>
      <w:r>
        <w:rPr>
          <w:u w:val="single"/>
        </w:rPr>
        <w:t xml:space="preserve">REQUEST FOR DISCLOSURE BY FUNERAL DIRECTOR.  (a)  A funeral director to whom this subchapter applies may request a disclosure in accordance with this section from a life insurer to which this subchapter applies if the director has obtained written consent from an heir, an heir's representative, or the personal representative of the decedent for the director to contact a specific life insurer concerning designated beneficiaries in a policy insuring the life of the decedent.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consent described by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heir, heir's representative, or personal representative providing consent;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statement of the facts establishing knowledge as to the family and nearest relatives of the decedent;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brief statement of facts describing the basis for the belief the decedent was or may have been an insured under a life insurance policy with a particular life insurer;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brief statement of facts concerning whether the decedent was or may have been the owner of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funeral director shall provide a copy of the written consent to the life insurer requested to provide information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1103.204.</w:t>
      </w:r>
      <w:r>
        <w:rPr>
          <w:u w:val="single"/>
        </w:rPr>
        <w:t xml:space="preserve"> </w:t>
      </w:r>
      <w:r>
        <w:rPr>
          <w:u w:val="single"/>
        </w:rPr>
        <w:t xml:space="preserve"> </w:t>
      </w:r>
      <w:r>
        <w:rPr>
          <w:u w:val="single"/>
        </w:rPr>
        <w:t xml:space="preserve">DISCLOSURE BY LIFE INSURER.  (a)  Except as provided by Subsection (b), a life insurer shall provide a written disclosure of the designated beneficiary of a life insurance policy owned by the decedent for which a funeral director requests information under Section 1103.203.  The insurer shall provide the disclosure not later than the fifth day after the date the insurer receives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life insurer may not disclose the designated beneficiary of a life insurance policy insuring the life of a decedent if the decedent is not the owner of the policy unless the life insurer receives the written consent of the owner to provide the disclosure.  The insurer may advise a funeral director who requests information under Section 1103.203 that the decedent is not the owner of the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1103.205.</w:t>
      </w:r>
      <w:r>
        <w:rPr>
          <w:u w:val="single"/>
        </w:rPr>
        <w:t xml:space="preserve"> </w:t>
      </w:r>
      <w:r>
        <w:rPr>
          <w:u w:val="single"/>
        </w:rPr>
        <w:t xml:space="preserve"> </w:t>
      </w:r>
      <w:r>
        <w:rPr>
          <w:u w:val="single"/>
        </w:rPr>
        <w:t xml:space="preserve">CONSTRUCTION OF SUBCHAPTER.  This subchapter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life insurer to disclose the owner or designated beneficiary of a life insurance policy insuring the life of a decedent that is not owned by the decedent without the owner's written consent;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right of the funeral director or assignee of the funeral director to benefits under a life insurance policy unless the designated beneficiary of the policy has executed a written assignment of benefits to the funeral director;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any determination that benefits are payable under the terms of the applicable life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1103.206.</w:t>
      </w:r>
      <w:r>
        <w:rPr>
          <w:u w:val="single"/>
        </w:rPr>
        <w:t xml:space="preserve"> </w:t>
      </w:r>
      <w:r>
        <w:rPr>
          <w:u w:val="single"/>
        </w:rPr>
        <w:t xml:space="preserve"> </w:t>
      </w:r>
      <w:r>
        <w:rPr>
          <w:u w:val="single"/>
        </w:rPr>
        <w:t xml:space="preserve">LIMITATION OF LIABILITY.  A life insurer is not subject to civil liability or administrative action by making an authorized disclosure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