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88R19951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Holland, Goldman,</w:t>
      </w:r>
      <w:r xml:space="preserve">
        <w:tab wTab="150" tlc="none" cTlc="0"/>
      </w:r>
      <w:r>
        <w:t xml:space="preserve">H.B.</w:t>
      </w:r>
      <w:r xml:space="preserve">
        <w:t> </w:t>
      </w:r>
      <w:r>
        <w:t xml:space="preserve">No.</w:t>
      </w:r>
      <w:r xml:space="preserve">
        <w:t> </w:t>
      </w:r>
      <w:r>
        <w:t xml:space="preserve">1565</w:t>
      </w:r>
    </w:p>
    <w:p w:rsidR="003F3435" w:rsidRDefault="0032493E">
      <w:pPr>
        <w:jc w:val="both"/>
      </w:pPr>
      <w:r xml:space="preserve">
        <w:t> </w:t>
      </w:r>
      <w:r xml:space="preserve">
        <w:t> </w:t>
      </w:r>
      <w:r xml:space="preserve">
        <w:t> </w:t>
      </w:r>
      <w:r xml:space="preserve">
        <w:t> </w:t>
      </w:r>
      <w:r xml:space="preserve">
        <w:t> </w:t>
      </w:r>
      <w:r>
        <w:t xml:space="preserve">Bell of Kaufman, Clardy</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16.053, Water Code, is amended by amending Subsection (e) and adding Subsection (e-2)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sponsor money;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permit applications, including the status of a permit application;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provided by Subsection (b) of this section, Section 6.062, Water Code, as amended by this Act, applies to a member of the Texas Water Development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Water Development Board who, before the effective date of this Act, completed the training program required by Section 6.062, Water Code, as that law existed before the effective date of this Act, is only required to complete additional training on the subjects added by this Act to the training program required by Section 6.062, Water Code. </w:t>
      </w:r>
      <w:r>
        <w:t xml:space="preserve"> </w:t>
      </w:r>
      <w:r>
        <w:t xml:space="preserve">A board member described by this subsection may not vote, deliberate, or be counted as a member in attendance at a meeting of the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