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1565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16, Water Code, is amended by adding Section 16.0511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16.0511.</w:t>
      </w:r>
      <w:r>
        <w:rPr>
          <w:u w:val="single"/>
        </w:rPr>
        <w:t xml:space="preserve"> </w:t>
      </w:r>
      <w:r>
        <w:rPr>
          <w:u w:val="single"/>
        </w:rPr>
        <w:t xml:space="preserve"> </w:t>
      </w:r>
      <w:r>
        <w:rPr>
          <w:u w:val="single"/>
        </w:rPr>
        <w:t xml:space="preserve">FEASIBILITY REVIEW OF CERTAIN PROJECTS IN STATE WATER PLAN.  (a) Not later than January 5, 2027, and before the end of each successive five-year period after that date, the executive administrator shall evaluate the feasibility of certain projects under the state water plan,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projects the board has prioritized for funding;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reservoirs;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interstate water transfers;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innovative technology projects;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desalination plants;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large projects as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feasibility review, the executive administrator shall analyze for each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implementation timeline;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associated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land acquisition considerations;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economic impact.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16.053, Water Code, is amended by adding Subsection (e-2) to read as follows:</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sewerage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17, Water Code, apply only to an application submitted to the Texas Water Development Board on or after the effective date of this Act. An application submitted to the Texas Water Development Board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