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88R3032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1574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early registration for parenting students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51.983.</w:t>
      </w:r>
      <w:r>
        <w:rPr>
          <w:u w:val="single"/>
        </w:rPr>
        <w:t xml:space="preserve"> </w:t>
      </w:r>
      <w:r>
        <w:rPr>
          <w:u w:val="single"/>
        </w:rPr>
        <w:t xml:space="preserve"> </w:t>
      </w:r>
      <w:r>
        <w:rPr>
          <w:u w:val="single"/>
        </w:rPr>
        <w:t xml:space="preserve">EARLY REGISTRATION FOR PARENTING STUDENTS.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"Parenting student" means a student enrolled at an institution of higher education who is the parent or legal guardian of a child under 18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institution of higher education provides early registration for courses or programs at the institution for any group of students, the institution shall provide early registration for those courses or programs for parenting students in the same manner.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Higher Education Coordinating Board, in consultation with institutions of higher education, shall adopt rules as necessary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51.983, Education Code, as added by this Act, applies beginning with registration for a course or program for the 2024 spring semester.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