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88R24212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Allison, Plesa, Jones of Dallas, 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1578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1578: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1578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health literacy plan developed by the statewide health coordinating council and the inclusion of health literacy in the state health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104.002, Health and Safety Code, is amended by adding Subdivision (6)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literacy" means the degree to which an individual has the capacity to find, understand, and use health information and services to inform health-related decisions and 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104, Health and Safety Code, is amended by adding Section 104.0156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104.0156.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LITERACY PLAN.  (a) </w:t>
      </w:r>
      <w:r>
        <w:rPr>
          <w:u w:val="single"/>
        </w:rPr>
        <w:t xml:space="preserve"> </w:t>
      </w:r>
      <w:r>
        <w:rPr>
          <w:u w:val="single"/>
        </w:rPr>
        <w:t xml:space="preserve">The statewide health coordinating council shall develop a long-range plan for improving health literacy in this state.  The council shall update the plan at least once every two years.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developing the long-range plan, the statewide health coordinating council shall study the economic impact of low health literacy on state health programs and health insurance coverage for state residents. </w:t>
      </w:r>
      <w:r>
        <w:rPr>
          <w:u w:val="single"/>
        </w:rPr>
        <w:t xml:space="preserve"> </w:t>
      </w:r>
      <w:r>
        <w:rPr>
          <w:u w:val="single"/>
        </w:rPr>
        <w:t xml:space="preserve">The council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primary risk factors contributing to low health literacy;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methods for health care practitioners, health care facilities, and other persons to address the health literacy of patients and other health care consumers;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the effectiveness of using quality measures in state health programs to improve health literacy;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strategies for expanding the use of plain language instructions for patients;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the impact of improved health literacy on enhancing patient safety, reducing preventable events, and increasing medication adherence to attain greater cost-effectiveness and better patient outcomes in the provision of health care.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each even-numbered year, the statewide health coordinating council shall submit the long-range plan developed or updated under this section to the governor, the lieutenant governor, the speaker of the house of representatives,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104.022(e) and (f),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state health plan shall be developed and used in accordance with applicable state and federal law.  The plan must identify: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major statewide health concerns</w:t>
      </w:r>
      <w:r>
        <w:rPr>
          <w:u w:val="single"/>
        </w:rPr>
        <w:t xml:space="preserve">, including the prevalence of low health literacy among health care consumers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availability and use of current health resources of the state, including resources associated with information technology and state-supported institutions of higher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future health service, information technology, and facility needs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state health plan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propose strategies for the correction of major deficiencies in the service delivery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propose strategies for improving health literacy to attain greater cost-effectiveness and better patient outcomes in the provision of health care;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propose strategies for incorporating information technology in the service delivery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propose strategies for involving state-supported institutions of higher education in providing health services and for coordinating those efforts with health and human services agencies in order to close gaps in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provide direction for the state's legislative and executive decision-making processes to implement the strategies proposed by the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1578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