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88R4628 SRA-F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Allison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1578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health literacy plan developed by the statewide health coordinating council and the inclusion of health literacy in the state health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104.002, Health and Safety Code, is amended by adding Subdivision (6) to read as follows: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(6)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"Health literacy" means the degree to which an individual has the capacity to find, understand, and use health information and services to inform health-related decisions and actions.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104, Health and Safety Code, is amended by adding Section 104.0156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104.0156.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HEALTH LITERACY PLAN.  (a) </w:t>
      </w:r>
      <w:r>
        <w:rPr>
          <w:u w:val="single"/>
        </w:rPr>
        <w:t xml:space="preserve"> </w:t>
      </w:r>
      <w:r>
        <w:rPr>
          <w:u w:val="single"/>
        </w:rPr>
        <w:t xml:space="preserve">The statewide health coordinating council shall develop a long-range plan for improving health literacy in this state.  The council shall update the plan at least once every two years.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developing the long-range plan, the statewide health coordinating council shall study the economic impact of low health literacy on state health programs and health insurance coverage for state residents. </w:t>
      </w:r>
      <w:r>
        <w:rPr>
          <w:u w:val="single"/>
        </w:rPr>
        <w:t xml:space="preserve"> </w:t>
      </w:r>
      <w:r>
        <w:rPr>
          <w:u w:val="single"/>
        </w:rPr>
        <w:t xml:space="preserve">The council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primary risk factors contributing to low health literacy;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examine methods for health care practitioners, health care facilities, and other persons to address the health literacy of patients and other health care consumers;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examine the effectiveness of using quality measures in state health programs to improve health literacy;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identify strategies for expanding the use of plain language instructions for patients;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examine the impact of improved health literacy on enhancing patient safety, reducing preventable events, and increasing medication adherence to attain greater cost-effectiveness and better patient outcomes in the provision of health care.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 of each even-numbered year, the statewide health coordinating council shall submit the long-range plan developed or updated under this section to the governor, the lieutenant governor, the speaker of the house of representatives, and each member of the legislature.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Sections 104.022(e) and (f), Health and Safety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(e)</w:t>
      </w:r>
      <w:r xml:space="preserve">
        <w:t> </w:t>
      </w:r>
      <w:r xml:space="preserve">
        <w:t> </w:t>
      </w:r>
      <w:r>
        <w:t xml:space="preserve">The state health plan shall be developed and used in accordance with applicable state and federal law.  The plan must identify: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major statewide health concerns</w:t>
      </w:r>
      <w:r>
        <w:rPr>
          <w:u w:val="single"/>
        </w:rPr>
        <w:t xml:space="preserve">, including the prevalence of low health literacy among health care consumers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availability and use of current health resources of the state, including resources associated with information technology and state-supported institutions of higher education;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future health service, information technology, and facility needs of the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The state health plan must: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propose strategies for the correction of major deficiencies in the service delivery system;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propose strategies for improving health literacy to attain greater cost-effectiveness and better patient outcomes in the provision of health care;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propose strategies for incorporating information technology in the service delivery system;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propose strategies for involving state-supported institutions of higher education in providing health services and for coordinating those efforts with health and human services agencies in order to close gaps in services;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provide direction for the state's legislative and executive decision-making processes to implement the strategies proposed by the plan.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1578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