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88R22852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Herrero, Paul, et al.</w:t>
      </w:r>
      <w:r xml:space="preserve">
        <w:tab wTab="150" tlc="none" cTlc="0"/>
      </w:r>
      <w:r>
        <w:t xml:space="preserve">H.B.</w:t>
      </w:r>
      <w:r xml:space="preserve">
        <w:t> </w:t>
      </w:r>
      <w:r>
        <w:t xml:space="preserve">No.</w:t>
      </w:r>
      <w:r xml:space="preserve">
        <w:t> </w:t>
      </w:r>
      <w:r>
        <w:t xml:space="preserve">1588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of excess losses and operating expenses of the Texas Windstorm Insurance Association; authorizing an assessment;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(a) </w:t>
      </w:r>
      <w:r>
        <w:t xml:space="preserve"> </w:t>
      </w:r>
      <w:r>
        <w:t xml:space="preserve">In this section, "association"</w:t>
      </w:r>
      <w:r>
        <w:t xml:space="preserve"> </w:t>
      </w:r>
      <w:r>
        <w:t xml:space="preserve">means the Texas Windstorm Insurance Association.</w:t>
      </w:r>
    </w:p>
    <w:p w:rsidR="003F3435" w:rsidRDefault="0032493E">
      <w:pPr>
        <w:spacing w:line="480" w:lineRule="auto"/>
        <w:ind w:firstLine="720"/>
        <w:jc w:val="both"/>
      </w:pPr>
      <w:r>
        <w:t xml:space="preserve">(b)</w:t>
      </w:r>
      <w:r xml:space="preserve">
        <w:t> </w:t>
      </w:r>
      <w:r xml:space="preserve">
        <w:t> </w:t>
      </w:r>
      <w:r>
        <w:t xml:space="preserve">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2023.</w:t>
      </w:r>
    </w:p>
    <w:p w:rsidR="003F3435" w:rsidRDefault="0032493E">
      <w:pPr>
        <w:spacing w:line="480" w:lineRule="auto"/>
        <w:ind w:firstLine="720"/>
        <w:jc w:val="both"/>
      </w:pPr>
      <w:r>
        <w:t xml:space="preserve">(c)</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3F3435" w:rsidRDefault="0032493E">
      <w:pPr>
        <w:spacing w:line="480" w:lineRule="auto"/>
        <w:ind w:firstLine="1440"/>
        <w:jc w:val="both"/>
      </w:pPr>
      <w:r>
        <w:t xml:space="preserve">(2)</w:t>
      </w:r>
      <w:r xml:space="preserve">
        <w:t> </w:t>
      </w:r>
      <w:r xml:space="preserve">
        <w:t> </w:t>
      </w:r>
      <w:r>
        <w:t xml:space="preserve">the financing or investment described by Subdivision (1) of this subsection would be a more efficient way to provide funding necessary for the association to pay losses after a catastrophic event; and</w:t>
      </w:r>
    </w:p>
    <w:p w:rsidR="003F3435" w:rsidRDefault="0032493E">
      <w:pPr>
        <w:spacing w:line="480" w:lineRule="auto"/>
        <w:ind w:firstLine="1440"/>
        <w:jc w:val="both"/>
      </w:pPr>
      <w:r>
        <w:t xml:space="preserve">(3)</w:t>
      </w:r>
      <w:r xml:space="preserve">
        <w:t> </w:t>
      </w:r>
      <w:r xml:space="preserve">
        <w:t> </w:t>
      </w:r>
      <w:r>
        <w:t xml:space="preserve">a loan or other investment from available state money to the association of not more than $500 million before a catastrophic event and not more than $1 billion after a catastrophic event would:</w:t>
      </w:r>
    </w:p>
    <w:p w:rsidR="003F3435" w:rsidRDefault="0032493E">
      <w:pPr>
        <w:spacing w:line="480" w:lineRule="auto"/>
        <w:ind w:firstLine="2160"/>
        <w:jc w:val="both"/>
      </w:pPr>
      <w:r>
        <w:t xml:space="preserve">(A)</w:t>
      </w:r>
      <w:r xml:space="preserve">
        <w:t> </w:t>
      </w:r>
      <w:r xml:space="preserve">
        <w:t> </w:t>
      </w:r>
      <w:r>
        <w:t xml:space="preserve">replace the funding levels currently provided by issuing public securities;</w:t>
      </w:r>
    </w:p>
    <w:p w:rsidR="003F3435" w:rsidRDefault="0032493E">
      <w:pPr>
        <w:spacing w:line="480" w:lineRule="auto"/>
        <w:ind w:firstLine="2160"/>
        <w:jc w:val="both"/>
      </w:pPr>
      <w:r>
        <w:t xml:space="preserve">(B)</w:t>
      </w:r>
      <w:r xml:space="preserve">
        <w:t> </w:t>
      </w:r>
      <w:r xml:space="preserve">
        <w:t> </w:t>
      </w:r>
      <w:r>
        <w:t xml:space="preserve">be consistent with sound insurance solvency standards;</w:t>
      </w:r>
    </w:p>
    <w:p w:rsidR="003F3435" w:rsidRDefault="0032493E">
      <w:pPr>
        <w:spacing w:line="480" w:lineRule="auto"/>
        <w:ind w:firstLine="2160"/>
        <w:jc w:val="both"/>
      </w:pPr>
      <w:r>
        <w:t xml:space="preserve">(C)</w:t>
      </w:r>
      <w:r xml:space="preserve">
        <w:t> </w:t>
      </w:r>
      <w:r xml:space="preserve">
        <w:t> </w:t>
      </w:r>
      <w:r>
        <w:t xml:space="preserve">provide a more viable method for the association to have money for losses after a catastrophic event than the issuance of public securities; and</w:t>
      </w:r>
    </w:p>
    <w:p w:rsidR="003F3435" w:rsidRDefault="0032493E">
      <w:pPr>
        <w:spacing w:line="480" w:lineRule="auto"/>
        <w:ind w:firstLine="2160"/>
        <w:jc w:val="both"/>
      </w:pPr>
      <w:r>
        <w:t xml:space="preserve">(D)</w:t>
      </w:r>
      <w:r xml:space="preserve">
        <w:t> </w:t>
      </w:r>
      <w:r xml:space="preserve">
        <w:t> </w:t>
      </w:r>
      <w:r>
        <w:t xml:space="preserve">provide a secured investment for the state that would:</w:t>
      </w:r>
    </w:p>
    <w:p w:rsidR="003F3435" w:rsidRDefault="0032493E">
      <w:pPr>
        <w:spacing w:line="480" w:lineRule="auto"/>
        <w:ind w:firstLine="2880"/>
        <w:jc w:val="both"/>
      </w:pPr>
      <w:r>
        <w:t xml:space="preserve">(i)</w:t>
      </w:r>
      <w:r xml:space="preserve">
        <w:t> </w:t>
      </w:r>
      <w:r xml:space="preserve">
        <w:t> </w:t>
      </w:r>
      <w:r>
        <w:t xml:space="preserve">yield interest income for the state on state money; and</w:t>
      </w:r>
    </w:p>
    <w:p w:rsidR="003F3435" w:rsidRDefault="0032493E">
      <w:pPr>
        <w:spacing w:line="480" w:lineRule="auto"/>
        <w:ind w:firstLine="2880"/>
        <w:jc w:val="both"/>
      </w:pPr>
      <w:r>
        <w:t xml:space="preserve">(ii)</w:t>
      </w:r>
      <w:r xml:space="preserve">
        <w:t> </w:t>
      </w:r>
      <w:r xml:space="preserve">
        <w:t> </w:t>
      </w:r>
      <w:r>
        <w:t xml:space="preserve">be adequately secured for repayment through statewide catastrophe surcharges on certain insurance policies in this state.</w:t>
      </w:r>
    </w:p>
    <w:p w:rsidR="003F3435" w:rsidRDefault="0032493E">
      <w:pPr>
        <w:spacing w:line="480" w:lineRule="auto"/>
        <w:ind w:firstLine="720"/>
        <w:jc w:val="both"/>
      </w:pPr>
      <w:r>
        <w:t xml:space="preserve">(d)</w:t>
      </w:r>
      <w:r xml:space="preserve">
        <w:t> </w:t>
      </w:r>
      <w:r xml:space="preserve">
        <w:t> </w:t>
      </w:r>
      <w:r>
        <w:t xml:space="preserve">The legislature finds that authorizing catastrophe surcharges is a viable method to assure repayment of loans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2024</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2024, and results in excess losses and operating expenses incurred by the association before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2023, shall be paid as provided by Subchapter B-2.</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2210.071(a),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in a catastrophe year </w:t>
      </w:r>
      <w:r>
        <w:rPr>
          <w:u w:val="single"/>
        </w:rPr>
        <w:t xml:space="preserve">before January 1, 2024</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 financing arrangement entered into,</w:t>
      </w:r>
      <w:r>
        <w:t xml:space="preserve"> or assessments made before </w:t>
      </w:r>
      <w:r>
        <w:rPr>
          <w:u w:val="single"/>
        </w:rPr>
        <w:t xml:space="preserve">January 1, 2024,</w:t>
      </w:r>
      <w:r>
        <w:t xml:space="preserve"> </w:t>
      </w:r>
      <w:r>
        <w:t xml:space="preserve">or as a result of any occurrence or series of occurrences in a catastrophe year that </w:t>
      </w:r>
      <w:r>
        <w:rPr>
          <w:u w:val="single"/>
        </w:rPr>
        <w:t xml:space="preserve">occurs before January 1, 2024,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STATE-FUNDED FINANCING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borrowing from, or entering into other financing arrangements with, this state as provided by Subchapter M-1 and Section 404.0242,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debt obligation to the state under a financing arrangement entered into with this state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financing arrangement described by Subsection (a) may also be used for a purpose described by Section 2210.072(d) in the same manner as a financing arrangement with a market source.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the payment of losses and operating expenses of the association for a catastrophe year that occurs after December 31, 2023, and results in excess losses and operating expenses incurred by the association after December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insured losses and operating expenses for a catastrophe year not paid under Subsection (a), the association shall arrange for financing of not more than $1 billion through one or more financing arrangements entered into with the state as provided by Subchapter M-1 and Section 404.0242,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2210.4521(a),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  The comptroller's investment of that portion of the balance is not subject to any other limitation or other requirement provided by Section 404.024, Government Code.  </w:t>
      </w:r>
      <w:r>
        <w:rPr>
          <w:u w:val="single"/>
        </w:rPr>
        <w:t xml:space="preserve">The Texas Treasury Safekeeping Trust Company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Sections 2210.453(d) and (e), Insurance Code, are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t xml:space="preserve"> [</w:t>
      </w:r>
      <w:r>
        <w:rPr>
          <w:strike/>
        </w:rPr>
        <w:t xml:space="preserve">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The commissioner may adopt a method or approve the association's method of determining the probability of one in 100 for association risks.  The commissioner shall provide any adopted  or approved method to the association on or before February 1 of each year</w:t>
      </w:r>
      <w:r>
        <w:t xml:space="preserve"> [</w:t>
      </w:r>
      <w:r>
        <w:rPr>
          <w:strike/>
        </w:rPr>
        <w:t xml:space="preserve">A member of the association may not recoup an assessment paid under Subsection (d) through a premium surcharge or tax credit</w:t>
      </w:r>
      <w:r>
        <w:t xml:space="preserve">].</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2210.601, Insurance Code, is amended to read as follows:</w:t>
      </w:r>
    </w:p>
    <w:p w:rsidR="003F3435" w:rsidRDefault="0032493E">
      <w:pPr>
        <w:spacing w:line="480" w:lineRule="auto"/>
        <w:ind w:firstLine="720"/>
        <w:jc w:val="both"/>
      </w:pPr>
      <w:r>
        <w:t xml:space="preserve">Sec.</w:t>
      </w:r>
      <w:r xml:space="preserve">
        <w:t> </w:t>
      </w:r>
      <w:r>
        <w:t xml:space="preserve">2210.601.</w:t>
      </w:r>
      <w:r xml:space="preserve">
        <w:t> </w:t>
      </w:r>
      <w:r xml:space="preserve">
        <w:t> </w:t>
      </w:r>
      <w:r>
        <w:rPr>
          <w:u w:val="single"/>
        </w:rPr>
        <w:t xml:space="preserve">FINDINGS</w:t>
      </w:r>
      <w:r>
        <w:t xml:space="preserve"> [</w:t>
      </w:r>
      <w:r>
        <w:rPr>
          <w:strike/>
        </w:rPr>
        <w:t xml:space="preserve">PURPOSE</w:t>
      </w:r>
      <w:r>
        <w:t xml:space="preserve">].  The legislature finds that </w:t>
      </w:r>
      <w:r>
        <w:rPr>
          <w:u w:val="single"/>
        </w:rPr>
        <w:t xml:space="preserve">for losses incurred before January 1, 2024,</w:t>
      </w:r>
      <w:r>
        <w:t xml:space="preserve"> authorizing the </w:t>
      </w:r>
      <w:r>
        <w:rPr>
          <w:u w:val="single"/>
        </w:rPr>
        <w:t xml:space="preserve">association to enter into financing arrangements with this state as provided by Section 2210.076</w:t>
      </w:r>
      <w:r>
        <w:t xml:space="preserve"> [</w:t>
      </w:r>
      <w:r>
        <w:rPr>
          <w:strike/>
        </w:rPr>
        <w:t xml:space="preserve">issuance of public securities</w:t>
      </w:r>
      <w:r>
        <w:t xml:space="preserve">] to provide a method to raise funds to provide windstorm and hail insurance through the association in certain designated portions of the state is for the benefit of the public and in furtherance of a public purpose.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Subchapter M, Chapter 2210, Insurance Code, is amended by adding Section 2210.6015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2210.6015.</w:t>
      </w:r>
      <w:r>
        <w:rPr>
          <w:u w:val="single"/>
        </w:rPr>
        <w:t xml:space="preserve"> </w:t>
      </w:r>
      <w:r>
        <w:rPr>
          <w:u w:val="single"/>
        </w:rPr>
        <w:t xml:space="preserve"> </w:t>
      </w:r>
      <w:r>
        <w:rPr>
          <w:u w:val="single"/>
        </w:rPr>
        <w:t xml:space="preserve">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2024, for a catastrophe year occurring before January 1, 2024.  After December 31, 2023, the association may not issue public securities under this subchapter except to fund excess losses and operating expenses incurred before January 1, 2024.</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STATE-FUNDED CATASTROPHE FINANCING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STATE-FUNDED CATASTROPHE FINANCING ARRANGEMENTS.  The legislature has determined that providing catastrophe funding to the association by permitting the association to enter into a financing arrangement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PROCEEDS OF CATASTROPHE FINANCING ARRANGEMENT. </w:t>
      </w:r>
      <w:r>
        <w:rPr>
          <w:u w:val="single"/>
        </w:rPr>
        <w:t xml:space="preserve"> </w:t>
      </w:r>
      <w:r>
        <w:rPr>
          <w:u w:val="single"/>
        </w:rPr>
        <w:t xml:space="preserve">The proceeds of a catastrophe financing arrangement with this state entered into under this subchapter before a catastrophic event shall be deposited in the catastrophe reserve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2210.633.</w:t>
      </w:r>
      <w:r>
        <w:rPr>
          <w:u w:val="single"/>
        </w:rPr>
        <w:t xml:space="preserve"> </w:t>
      </w:r>
      <w:r>
        <w:rPr>
          <w:u w:val="single"/>
        </w:rPr>
        <w:t xml:space="preserve"> </w:t>
      </w:r>
      <w:r>
        <w:rPr>
          <w:u w:val="single"/>
        </w:rPr>
        <w:t xml:space="preserve">CATASTROPHE FINANCING ARRANGEMENT AUTHORIZED; LIMITS. </w:t>
      </w:r>
      <w:r>
        <w:rPr>
          <w:u w:val="single"/>
        </w:rPr>
        <w:t xml:space="preserve"> </w:t>
      </w:r>
      <w:r>
        <w:rPr>
          <w:u w:val="single"/>
        </w:rPr>
        <w:t xml:space="preserve">(a) </w:t>
      </w:r>
      <w:r>
        <w:rPr>
          <w:u w:val="single"/>
        </w:rPr>
        <w:t xml:space="preserve"> </w:t>
      </w:r>
      <w:r>
        <w:rPr>
          <w:u w:val="single"/>
        </w:rPr>
        <w:t xml:space="preserve">The association may enter into a financing arrangement with this state as provided by Section 404.0242,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for not more than $500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 that depletes the catastrophe reserve fund, for not more than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available under Subsection (a)(2) is reduced by the amount of any outstanding pre-event or post-event financing obtained by the association under this section.</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may order a catastrophe surcharge as provided by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a catastrophic event, the association enters into a financing arrangement with this state that is the basis for the surcharge under Subchapter M-1;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a catastrophic 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commissioner determines that the association has depleted its reserves, other money, and the catastrophe reserve trust fund;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association enters into a financing arrangement with this state that is the basis for the surcharge under Subchapter M-1.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repay the debt obligation to the state under the financing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to repay the debt obligation to the state under the financing arrangement entered into with this state under Subchapter M-1 that is the basis for the surcharge.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the catastrophe reserve trust fund or an account designated by the comptroller for purposes of repayment of the association's debt obligation to the state under the financing arrangement that is the basis for the surcharge.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r>
        <w:t xml:space="preserve"> </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Subchapter C, Chapter 404, Government Code, is amended by adding Section 404.0242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404.0242.</w:t>
      </w:r>
      <w:r>
        <w:rPr>
          <w:u w:val="single"/>
        </w:rPr>
        <w:t xml:space="preserve"> </w:t>
      </w:r>
      <w:r>
        <w:rPr>
          <w:u w:val="single"/>
        </w:rPr>
        <w:t xml:space="preserve"> </w:t>
      </w:r>
      <w:r>
        <w:rPr>
          <w:u w:val="single"/>
        </w:rPr>
        <w:t xml:space="preserve">INVESTMENT IN WINDSTORM CATASTROPHE FINANCING ARRANGEMENTS.  (a) The comptroller shall invest state money to provide financing for losses of the Texas Windstorm Insurance Association in accordance with this section and Chapter 2210, Insurance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comptroller may enter 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terms of a financing arrangement entered into under this section include interest, the interest rate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rate set by the Federal Home Loan Bank Board;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funds rate as specified by Section 4A.506(b), Business &amp; Commerce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debt obligation entered into under this section may not exceed 36 months to maturity.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use up to $1 billion of the economic stabilization fund balance to provide financing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aggregate amount of outstanding pre-event and post-event financing provided under this section may not exceed $1 billion.</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Effective September 1, 2025,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Subchapter B-1, Chapter 2210; and</w:t>
      </w:r>
    </w:p>
    <w:p w:rsidR="003F3435" w:rsidRDefault="0032493E">
      <w:pPr>
        <w:spacing w:line="480" w:lineRule="auto"/>
        <w:ind w:firstLine="1440"/>
        <w:jc w:val="both"/>
      </w:pPr>
      <w:r>
        <w:t xml:space="preserve">(2)</w:t>
      </w:r>
      <w:r xml:space="preserve">
        <w:t> </w:t>
      </w:r>
      <w:r xml:space="preserve">
        <w:t> </w:t>
      </w:r>
      <w:r>
        <w:t xml:space="preserve">Subchapter M, Chapter 2210.</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As soon as practicable after the effective date of this Act and not later than December 1, 2023, the commissioner of insurance shall adopt rules necessary to implement Subchapters B-2 and M-2,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Effective September 1, 2025, 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  In an action brought by the commissioner against the association under Chapter 441</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2025, Sections 2210.056(b)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and </w:t>
      </w:r>
      <w:r>
        <w:rPr>
          <w:u w:val="single"/>
        </w:rPr>
        <w:t xml:space="preserve">M-2</w:t>
      </w:r>
      <w:r>
        <w:t xml:space="preserve"> [</w:t>
      </w:r>
      <w:r>
        <w:rPr>
          <w:strike/>
        </w:rPr>
        <w:t xml:space="preserve">M</w:t>
      </w:r>
      <w:r>
        <w:t xml:space="preserve">], including reinsurance[</w:t>
      </w:r>
      <w:r>
        <w:rPr>
          <w:strike/>
        </w:rPr>
        <w:t xml:space="preserve">, public securities,</w:t>
      </w:r>
      <w:r>
        <w:t xml:space="preserve">]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(c)</w:t>
      </w:r>
      <w:r xml:space="preserve">
        <w:t> </w:t>
      </w:r>
      <w:r xml:space="preserve">
        <w:t> </w:t>
      </w:r>
      <w:r>
        <w:t xml:space="preserve">On dissolution of the association, all assets of the association[</w:t>
      </w:r>
      <w:r>
        <w:rPr>
          <w:strike/>
        </w:rPr>
        <w:t xml:space="preserve">, other than assets pledged for the repayment of public securities issued under this chapter,</w:t>
      </w:r>
      <w:r>
        <w:t xml:space="preserve">] revert to this state.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2025,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September 1, 2025, 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payment of public security obligations issued under this chapter, including the additional amount of any debt service coverage determined by the association to be required for the issuance of marketable public securities;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 xml:space="preserve">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(b)</w:t>
      </w:r>
      <w:r xml:space="preserve">
        <w:t> </w:t>
      </w:r>
      <w:r xml:space="preserve">
        <w:t> </w:t>
      </w:r>
      <w:r>
        <w:t xml:space="preserve">Effective September 1, 2025, 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 xml:space="preserve">M-2</w:t>
      </w:r>
      <w:r>
        <w:t xml:space="preserve"> [</w:t>
      </w:r>
      <w:r>
        <w:rPr>
          <w:strike/>
        </w:rPr>
        <w:t xml:space="preserve">M</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2210.452(a), (c),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(c)</w:t>
      </w:r>
      <w:r xml:space="preserve">
        <w:t> </w:t>
      </w:r>
      <w:r xml:space="preserve">
        <w:t> </w:t>
      </w:r>
      <w:r>
        <w:t xml:space="preserve">At the end of each calendar year or policy year, the association shall use the net gain from operations of the association, including all premium and other revenue of the association in excess of incurred losses </w:t>
      </w:r>
      <w:r>
        <w:rPr>
          <w:u w:val="single"/>
        </w:rPr>
        <w:t xml:space="preserve">and</w:t>
      </w:r>
      <w:r>
        <w:t xml:space="preserve">[</w:t>
      </w:r>
      <w:r>
        <w:rPr>
          <w:strike/>
        </w:rPr>
        <w:t xml:space="preserve">,</w:t>
      </w:r>
      <w:r>
        <w:t xml:space="preserve">] operating expenses, [</w:t>
      </w:r>
      <w:r>
        <w:rPr>
          <w:strike/>
        </w:rPr>
        <w:t xml:space="preserve">public security obligations, and public security administrative expenses,</w:t>
      </w:r>
      <w:r>
        <w:t xml:space="preserve">] to make payments to the trust fund, procure reinsurance, or use alternative risk financing mechanisms, or to make payments to the trust fund and procure reinsurance or use alternative risk financing mechanisms.</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w:t>
      </w:r>
      <w:r>
        <w:rPr>
          <w:strike/>
        </w:rPr>
        <w:t xml:space="preserve">public securities,</w:t>
      </w:r>
      <w:r>
        <w:t xml:space="preserve">] financial instruments, </w:t>
      </w:r>
      <w:r>
        <w:rPr>
          <w:u w:val="single"/>
        </w:rPr>
        <w:t xml:space="preserve">financing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repeal by this Act of Subchapters B-1 and M, Chapter 2210, Insurance Code, and other changes in law made by this Act effective September 1, 2025:</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2024,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2024,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