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88R8050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1589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certain family violence assaults.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22.01(b) and (b-3), Penal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w:t>
      </w:r>
      <w:r>
        <w:rPr>
          <w:u w:val="single"/>
        </w:rPr>
        <w:t xml:space="preserve">that was committed:</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under this chapter, Chapter 19, or Section 20.03, 20.04, 21.11, or 25.11</w:t>
      </w:r>
      <w:r>
        <w:t xml:space="preserve">] against a person whose relationship to or association with the defendant is described by Section 71.0021(b), 71.003, or 71.005, Family Code</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this chapter, Chapter 19, or Section 20.03, 20.04, 21.11, or 25.11;</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Section 25.07, if the applicable violation was based on the commission of family violence as described by Subsection (a)(1) of that section;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Section 25.072, if any of the applicable violations were based on the commission of family violence as described by Section 25.07(a)(1)</w:t>
      </w:r>
      <w:r>
        <w:t xml:space="preserv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as defined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or</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p>
    <w:p w:rsidR="003F3435" w:rsidRDefault="0032493E">
      <w:pPr>
        <w:spacing w:line="480" w:lineRule="auto"/>
        <w:ind w:firstLine="720"/>
        <w:jc w:val="both"/>
      </w:pPr>
      <w:r>
        <w:t xml:space="preserve">(b-3)</w:t>
      </w:r>
      <w:r xml:space="preserve">
        <w:t> </w:t>
      </w:r>
      <w:r xml:space="preserve">
        <w:t> </w:t>
      </w:r>
      <w:r>
        <w:t xml:space="preserve">Notwithstanding Subsection (b)(2), an offense under Subsection (a)(1) is a felony of the second degree if:</w:t>
      </w:r>
    </w:p>
    <w:p w:rsidR="003F3435" w:rsidRDefault="0032493E">
      <w:pPr>
        <w:spacing w:line="480" w:lineRule="auto"/>
        <w:ind w:firstLine="1440"/>
        <w:jc w:val="both"/>
      </w:pPr>
      <w:r>
        <w:t xml:space="preserve">(1)</w:t>
      </w:r>
      <w:r xml:space="preserve">
        <w:t> </w:t>
      </w:r>
      <w:r xml:space="preserve">
        <w:t> </w:t>
      </w:r>
      <w:r>
        <w:t xml:space="preserve">the offense is committed against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it is shown on the trial of the offense that the defendant has been previously convicted of an offense </w:t>
      </w:r>
      <w:r>
        <w:rPr>
          <w:u w:val="single"/>
        </w:rPr>
        <w:t xml:space="preserve">that was committed:</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under this chapter, Chapter 19, or Section 20.03, 20.04, or 21.11</w:t>
      </w:r>
      <w:r>
        <w:t xml:space="preserve">] against a person whose relationship to or association with the defendant is described by Section 71.0021(b), 71.003, or 71.005, Family Code</w:t>
      </w:r>
      <w:r>
        <w:rPr>
          <w:u w:val="single"/>
        </w:rPr>
        <w:t xml:space="preserv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this chapter, Chapter 19, or Section 20.03, 20.04, 21.11, or 25.11;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25.07, if the applicable violation was based on the commission of family violence as described by Subsection (a)(1) of that section;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25.072, if any of the applicable violations were based on the commission of family violence as described by Section 25.07(a)(1)</w:t>
      </w:r>
      <w:r>
        <w:t xml:space="preserve">; and</w:t>
      </w:r>
    </w:p>
    <w:p w:rsidR="003F3435" w:rsidRDefault="0032493E">
      <w:pPr>
        <w:spacing w:line="480" w:lineRule="auto"/>
        <w:ind w:firstLine="1440"/>
        <w:jc w:val="both"/>
      </w:pPr>
      <w:r>
        <w:t xml:space="preserve">(3)</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