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88R7739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1594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social media companies regarding prostitution and trafficking of persons;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99, Business &amp; Commerce Code, is amended by adding Chapter 2005 to read as follows:</w:t>
      </w:r>
    </w:p>
    <w:p w:rsidR="003F3435" w:rsidRDefault="0032493E">
      <w:pPr>
        <w:spacing w:line="480" w:lineRule="auto"/>
        <w:jc w:val="center"/>
      </w:pPr>
      <w:r>
        <w:rPr>
          <w:u w:val="single"/>
        </w:rPr>
        <w:t xml:space="preserve">CHAPTER 2005.  DUTIES OF SOCIAL MEDIA COMPANY REGARDING PROSTITUTION AND TRAFFICKING OF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"Social media company" means a business entity that provides or operates a social media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"Social media website" means an interactive Internet website or application that enables multiple users to communicate with other users by posting, creating, sharing, or viewing content, including instant messages, blogs, information, comments, videos, and images.  The term includes Facebook, Instagram, and Twitter.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2005.002.</w:t>
      </w:r>
      <w:r>
        <w:rPr>
          <w:u w:val="single"/>
        </w:rPr>
        <w:t xml:space="preserve"> </w:t>
      </w:r>
      <w:r>
        <w:rPr>
          <w:u w:val="single"/>
        </w:rPr>
        <w:t xml:space="preserve"> </w:t>
      </w:r>
      <w:r>
        <w:rPr>
          <w:u w:val="single"/>
        </w:rPr>
        <w:t xml:space="preserve">PROSTITUTION AND TRAFFICKING OF PERSONS ON SOCIAL MEDIA WEBSITES.  (a) A social media company may not allow a person to use the company's social media website for engaging in conduct that constitutes an offense under Chapter 20A, Penal Code, or Subchapter A, Chapter 43,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company that discovers a person is using the company's social media website to engage in conduct described by Subsection (a)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preserve the offending content;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appropriate law enforcement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remove the offending content from being publicly accessible;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suspend the account to which the content was posted;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issue a warning to the account holder that posted the content.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social media company commits an offense if the company violates this section.  An offense under this subsection is a Class A misdemeanor except that the offense is a state jail felony if the conduct is committed intentionally or knowingly.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