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88R21752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1595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1595:</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C.S.H.B.</w:t>
      </w:r>
      <w:r xml:space="preserve">
        <w:t> </w:t>
      </w:r>
      <w:r>
        <w:t xml:space="preserve">No.</w:t>
      </w:r>
      <w:r xml:space="preserve">
        <w:t> </w:t>
      </w:r>
      <w:r>
        <w:t xml:space="preserve">1595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university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w:t>
      </w:r>
      <w:r xml:space="preserve">
        <w:t> </w:t>
      </w:r>
      <w:r xml:space="preserve">
        <w:t> </w:t>
      </w:r>
      <w:r>
        <w:t xml:space="preserve">The core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62.132, Education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entitled to participate in the funding provided by Section 18, Article VII, Texas Constitution;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 </w:t>
      </w:r>
      <w:r>
        <w:t xml:space="preserve">[</w:t>
      </w:r>
      <w:r>
        <w:rPr>
          <w:strike/>
        </w:rPr>
        <w:t xml:space="preserve">is designated as an emerging research university under the coordinating board's accountability system</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w:t>
      </w:r>
      <w:r xml:space="preserve">
        <w:t> </w:t>
      </w:r>
      <w:r>
        <w:rPr>
          <w:u w:val="single"/>
        </w:rPr>
        <w:t xml:space="preserve">TEXAS</w:t>
      </w:r>
      <w:r xml:space="preserve">
        <w:t> </w:t>
      </w:r>
      <w:r>
        <w:t xml:space="preserve">[</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 rolling 10-year period,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w:t>
      </w:r>
      <w:r xml:space="preserve">
        <w:t> </w:t>
      </w:r>
      <w:r xml:space="preserve">
        <w:t> </w:t>
      </w:r>
      <w:r>
        <w:t xml:space="preserve">(a)</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rule</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xml:space="preserve">
        <w:t> </w:t>
      </w:r>
      <w:r>
        <w:t xml:space="preserve">[</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(c), for an institution that spent at least the amount determined under Subsection (b)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minimum amount in federal and private research funds required to be spent in each of the preceding two state fiscal years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$45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the rate of inflation during the preceding state fiscal year, as determined by the coordinating board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