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1595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18,</w:t>
      </w:r>
      <w:r xml:space="preserve">
        <w:t> </w:t>
      </w:r>
      <w:r>
        <w:t xml:space="preserve">2023; April</w:t>
      </w:r>
      <w:r xml:space="preserve">
        <w:t> </w:t>
      </w:r>
      <w:r>
        <w:t xml:space="preserve">20,</w:t>
      </w:r>
      <w:r xml:space="preserve">
        <w:t> </w:t>
      </w:r>
      <w:r>
        <w:t xml:space="preserve">2023, read first time and referred to Committee on Finance; May</w:t>
      </w:r>
      <w:r xml:space="preserve">
        <w:t> </w:t>
      </w:r>
      <w:r>
        <w:t xml:space="preserve">4,</w:t>
      </w:r>
      <w:r xml:space="preserve">
        <w:t> </w:t>
      </w:r>
      <w:r>
        <w:t xml:space="preserve">2023, reported adversely, with favorable Committee Substitute by the following vote:</w:t>
      </w:r>
      <w:r>
        <w:t xml:space="preserve"> </w:t>
      </w:r>
      <w:r>
        <w:t xml:space="preserve"> </w:t>
      </w:r>
      <w:r>
        <w:t xml:space="preserve">Yeas 15, Nays 0; May</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1595</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university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62.092(2), Education Code, is amended to read as follows:</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61.003,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62.132(2) </w:t>
      </w:r>
      <w:r>
        <w:rPr>
          <w:u w:val="single"/>
        </w:rPr>
        <w:t xml:space="preserve">or 62.145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62.1482(a)</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F-1, Chapter 62, Education Code, is amended to read as follows:</w:t>
      </w:r>
    </w:p>
    <w:p w:rsidR="003F3435" w:rsidRDefault="0032493E">
      <w:pPr>
        <w:spacing w:line="480" w:lineRule="auto"/>
        <w:jc w:val="center"/>
      </w:pPr>
      <w:r>
        <w:t xml:space="preserve">SUBCHAPTER F-1.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62.131, Education Code, is amended to read as follows:</w:t>
      </w:r>
    </w:p>
    <w:p w:rsidR="003F3435" w:rsidRDefault="0032493E">
      <w:pPr>
        <w:spacing w:line="480" w:lineRule="auto"/>
        <w:ind w:firstLine="720"/>
        <w:jc w:val="both"/>
      </w:pPr>
      <w:r>
        <w:t xml:space="preserve">Sec.</w:t>
      </w:r>
      <w:r xml:space="preserve">
        <w:t> </w:t>
      </w:r>
      <w:r>
        <w:t xml:space="preserve">62.131.</w:t>
      </w:r>
      <w:r xml:space="preserve">
        <w:t> </w:t>
      </w:r>
      <w:r xml:space="preserve">
        <w:t> </w:t>
      </w:r>
      <w:r>
        <w:t xml:space="preserve">PURPOSE.  The </w:t>
      </w:r>
      <w:r>
        <w:rPr>
          <w:u w:val="single"/>
        </w:rPr>
        <w:t xml:space="preserve">national</w:t>
      </w:r>
      <w:r>
        <w:t xml:space="preserve"> [</w:t>
      </w:r>
      <w:r>
        <w:rPr>
          <w:strike/>
        </w:rPr>
        <w:t xml:space="preserve">core</w:t>
      </w:r>
      <w:r>
        <w:t xml:space="preserve">] research support fund is established to provide funding to promote increased research capacity at </w:t>
      </w:r>
      <w:r>
        <w:rPr>
          <w:u w:val="single"/>
        </w:rPr>
        <w:t xml:space="preserve">certain institutions of higher education eligible to participate in the available university fund</w:t>
      </w:r>
      <w:r>
        <w:t xml:space="preserve"> [</w:t>
      </w:r>
      <w:r>
        <w:rPr>
          <w:strike/>
        </w:rPr>
        <w:t xml:space="preserve">emerging research universities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62.132, Education Code, is amended by amending Subdivisions (2) and (3)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 is </w:t>
      </w:r>
      <w:r>
        <w:rPr>
          <w:u w:val="single"/>
        </w:rPr>
        <w:t xml:space="preserve">eligible to receive distributions of money under this subchapter</w:t>
      </w:r>
      <w:r>
        <w:t xml:space="preserve"> </w:t>
      </w:r>
      <w:r>
        <w:t xml:space="preserve">[</w:t>
      </w:r>
      <w:r>
        <w:rPr>
          <w:strike/>
        </w:rPr>
        <w:t xml:space="preserve">designated as an emerging research university under the coordinating board's accountability system</w:t>
      </w:r>
      <w:r>
        <w:t xml:space="preserve">].</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62.133, Education Code, is amended to read as follows:</w:t>
      </w:r>
    </w:p>
    <w:p w:rsidR="003F3435" w:rsidRDefault="0032493E">
      <w:pPr>
        <w:spacing w:line="480" w:lineRule="auto"/>
        <w:ind w:firstLine="720"/>
        <w:jc w:val="both"/>
      </w:pPr>
      <w:r>
        <w:t xml:space="preserve">Sec.</w:t>
      </w:r>
      <w:r xml:space="preserve">
        <w:t> </w:t>
      </w:r>
      <w:r>
        <w:t xml:space="preserve">62.133.</w:t>
      </w:r>
      <w:r xml:space="preserve">
        <w:t> </w:t>
      </w:r>
      <w:r xml:space="preserve">
        <w:t> </w:t>
      </w:r>
      <w:r>
        <w:t xml:space="preserve">FUNDING.  The </w:t>
      </w:r>
      <w:r>
        <w:rPr>
          <w:u w:val="single"/>
        </w:rPr>
        <w:t xml:space="preserve">national</w:t>
      </w:r>
      <w:r>
        <w:t xml:space="preserve"> [</w:t>
      </w:r>
      <w:r>
        <w:rPr>
          <w:strike/>
        </w:rPr>
        <w:t xml:space="preserve">core</w:t>
      </w:r>
      <w:r>
        <w:t xml:space="preserve">] research support fund consists of money appropriated by the legislature to eligible institutions for the purposes of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F-1, Chapter 62, Education Code, is amended by adding Section 62.1335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62.1335.</w:t>
      </w:r>
      <w:r>
        <w:rPr>
          <w:u w:val="single"/>
        </w:rPr>
        <w:t xml:space="preserve"> </w:t>
      </w:r>
      <w:r>
        <w:rPr>
          <w:u w:val="single"/>
        </w:rPr>
        <w:t xml:space="preserve"> </w:t>
      </w:r>
      <w:r>
        <w:rPr>
          <w:u w:val="single"/>
        </w:rPr>
        <w:t xml:space="preserve">ELIGIBILITY TO RECEIVE DISTRIBUTIONS FROM FUND.  (a) </w:t>
      </w:r>
      <w:r>
        <w:rPr>
          <w:u w:val="single"/>
        </w:rPr>
        <w:t xml:space="preserve"> </w:t>
      </w:r>
      <w:r>
        <w:rPr>
          <w:u w:val="single"/>
        </w:rPr>
        <w:t xml:space="preserve">A general academic teaching institution becomes eligible to receive an initial distribution of money appropriated under this subchapter for a state fiscal year if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participate in the funding provided by Section 18,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  </w:t>
      </w:r>
      <w:r>
        <w:rPr>
          <w:u w:val="single"/>
        </w:rPr>
        <w:t xml:space="preserve">TEXAS</w:t>
      </w:r>
      <w:r>
        <w:t xml:space="preserve"> [</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  (a)  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over an economic cycle, subject to the liquidity needs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  (a)  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w:t>
      </w:r>
      <w:r>
        <w:rPr>
          <w:u w:val="single"/>
        </w:rPr>
        <w:t xml:space="preserve">, as determined by the comptroller,</w:t>
      </w:r>
      <w:r>
        <w:t xml:space="preserve"> for </w:t>
      </w:r>
      <w:r>
        <w:rPr>
          <w:u w:val="single"/>
        </w:rPr>
        <w:t xml:space="preserve">a period set by comptroller rule</w:t>
      </w:r>
      <w:r>
        <w:t xml:space="preserve"> </w:t>
      </w:r>
      <w:r>
        <w:t xml:space="preserve">[</w:t>
      </w:r>
      <w:r>
        <w:rPr>
          <w:strike/>
        </w:rPr>
        <w:t xml:space="preserve">the 12 consecutive state fiscal quarters ending with the last quarter of the preceding state fiscal year, as determined by the comptroller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for an institution that spent at least $45 million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