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88R15602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Lambert, Spiller</w:t>
      </w:r>
      <w:r xml:space="preserve">
        <w:tab wTab="150" tlc="none" cTlc="0"/>
      </w:r>
      <w:r>
        <w:t xml:space="preserve">H.B.</w:t>
      </w:r>
      <w:r xml:space="preserve">
        <w:t> </w:t>
      </w:r>
      <w:r>
        <w:t xml:space="preserve">No.</w:t>
      </w:r>
      <w:r xml:space="preserve">
        <w:t> </w:t>
      </w:r>
      <w:r>
        <w:t xml:space="preserve">1597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tariff filing requirements for certain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52.251, Utilities Code, is amended by adding Subsections (a-1), (c), and (d)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affiliate or trade association may file the tariff required under Subsection (a) on behalf of the public utility.</w:t>
      </w:r>
    </w:p>
    <w:p w:rsidR="003F3435" w:rsidRDefault="0032493E">
      <w:pPr>
        <w:spacing w:line="480" w:lineRule="auto"/>
        <w:ind w:firstLine="720"/>
        <w:jc w:val="both"/>
      </w:pPr>
      <w:r>
        <w:t xml:space="preserve">(b)</w:t>
      </w:r>
      <w:r xml:space="preserve">
        <w:t> </w:t>
      </w:r>
      <w:r xml:space="preserve">
        <w:t> </w:t>
      </w:r>
      <w:r>
        <w:t xml:space="preserve">The public utility</w:t>
      </w:r>
      <w:r>
        <w:rPr>
          <w:u w:val="single"/>
        </w:rPr>
        <w:t xml:space="preserve">, affiliate, or trade association</w:t>
      </w:r>
      <w:r>
        <w:t xml:space="preserve">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tariff filing is considered approved if the commission does not approve or deny the tariff filing or request supplemental information from the public utility, affiliate, or trade association that filed the tariff before the 60th day after receiving the tariff filing.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requests supplemental information from the public utility, affiliate, or trade association under Subsection (c), the utility, affiliate, or association must provide the commission with the supplemental information not later than the 15th day after receiving the request from the commission. If the commission does not approve or deny the tariff filing before the 30th day after the commission receives the supplemental information, the tariff filing is considered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tariff filed under Section 52.251, Utilities Code, as amended by this Act, on or after the effective date of this Act. A tariff filed before the effective date of this Act is governed by the law in effect on the date the tariff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