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1597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tariff filings of telecommunications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52.251, Utilities Code, is amended to read as follows:</w:t>
      </w:r>
    </w:p>
    <w:p w:rsidR="003F3435" w:rsidRDefault="0032493E">
      <w:pPr>
        <w:spacing w:line="480" w:lineRule="auto"/>
        <w:jc w:val="center"/>
      </w:pPr>
      <w:r>
        <w:t xml:space="preserve">SUBCHAPTER F. REQUIRED REPORTS AND FILINGS; RECORDS </w:t>
      </w:r>
    </w:p>
    <w:p w:rsidR="003F3435" w:rsidRDefault="0032493E">
      <w:pPr>
        <w:spacing w:line="480" w:lineRule="auto"/>
        <w:ind w:firstLine="720"/>
        <w:jc w:val="both"/>
      </w:pPr>
      <w:r>
        <w:t xml:space="preserve">Sec. 52.251. TARIFF FILINGS. </w:t>
      </w:r>
      <w:r>
        <w:t xml:space="preserve"> </w:t>
      </w:r>
      <w:r>
        <w:t xml:space="preserve">(a) </w:t>
      </w:r>
      <w:r>
        <w:t xml:space="preserve"> </w:t>
      </w:r>
      <w:r>
        <w:t xml:space="preserve">A public utility shall file with the commission a tariff showing each rate that is:</w:t>
      </w:r>
    </w:p>
    <w:p w:rsidR="003F3435" w:rsidRDefault="0032493E">
      <w:pPr>
        <w:spacing w:line="480" w:lineRule="auto"/>
        <w:ind w:firstLine="1440"/>
        <w:jc w:val="both"/>
      </w:pPr>
      <w:r>
        <w:t xml:space="preserve">(1)</w:t>
      </w:r>
      <w:r xml:space="preserve">
        <w:t> </w:t>
      </w:r>
      <w:r xml:space="preserve">
        <w:t> </w:t>
      </w:r>
      <w:r>
        <w:t xml:space="preserve">subject to the commission's jurisdiction; and</w:t>
      </w:r>
    </w:p>
    <w:p w:rsidR="003F3435" w:rsidRDefault="0032493E">
      <w:pPr>
        <w:spacing w:line="480" w:lineRule="auto"/>
        <w:ind w:firstLine="1440"/>
        <w:jc w:val="both"/>
      </w:pPr>
      <w:r>
        <w:t xml:space="preserve">(2)</w:t>
      </w:r>
      <w:r xml:space="preserve">
        <w:t> </w:t>
      </w:r>
      <w:r xml:space="preserve">
        <w:t> </w:t>
      </w:r>
      <w:r>
        <w:t xml:space="preserve">in effect for a utility service, product, or commodity offered by the utility.</w:t>
      </w:r>
    </w:p>
    <w:p w:rsidR="003F3435" w:rsidRDefault="0032493E">
      <w:pPr>
        <w:spacing w:line="480" w:lineRule="auto"/>
        <w:ind w:firstLine="720"/>
        <w:jc w:val="both"/>
      </w:pPr>
      <w:r>
        <w:t xml:space="preserve">(b)</w:t>
      </w:r>
      <w:r xml:space="preserve">
        <w:t> </w:t>
      </w:r>
      <w:r xml:space="preserve">
        <w:t> </w:t>
      </w:r>
      <w:r>
        <w:t xml:space="preserve">The public utility shall file as a part of the tariff required under Subsection (a) each rule that relates to or affects:</w:t>
      </w:r>
    </w:p>
    <w:p w:rsidR="003F3435" w:rsidRDefault="0032493E">
      <w:pPr>
        <w:spacing w:line="480" w:lineRule="auto"/>
        <w:ind w:firstLine="1440"/>
        <w:jc w:val="both"/>
      </w:pPr>
      <w:r>
        <w:t xml:space="preserve">(1)</w:t>
      </w:r>
      <w:r xml:space="preserve">
        <w:t> </w:t>
      </w:r>
      <w:r xml:space="preserve">
        <w:t> </w:t>
      </w:r>
      <w:r>
        <w:t xml:space="preserve">a rate of the utility; or</w:t>
      </w:r>
    </w:p>
    <w:p w:rsidR="003F3435" w:rsidRDefault="0032493E">
      <w:pPr>
        <w:spacing w:line="480" w:lineRule="auto"/>
        <w:ind w:firstLine="1440"/>
        <w:jc w:val="both"/>
      </w:pPr>
      <w:r>
        <w:t xml:space="preserve">(2)</w:t>
      </w:r>
      <w:r xml:space="preserve">
        <w:t> </w:t>
      </w:r>
      <w:r xml:space="preserve">
        <w:t> </w:t>
      </w:r>
      <w:r>
        <w:t xml:space="preserve">a utility service, product, or commodity furnished by the utility.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"public utility" is  defined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utility as defined by Section  51.002(8)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trade association, as defined by Section  11.003(21), Utilities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or more affiliates, as defined by Section  11.003(2), Utilities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within sixty (60) days after receiving the tariff application the Commission does not either approve the tariff application, reject the tariff application, or request  supplemental information, the tariff application shall be  deemed approved. </w:t>
      </w:r>
      <w:r>
        <w:rPr>
          <w:u w:val="single"/>
        </w:rPr>
        <w:t xml:space="preserve"> </w:t>
      </w:r>
      <w:r>
        <w:rPr>
          <w:u w:val="single"/>
        </w:rPr>
        <w:t xml:space="preserve">If the Commission requests supplemental  information, the public utility has fifteen (15) days to  provide the Commission with such supplemental information. </w:t>
      </w:r>
      <w:r>
        <w:rPr>
          <w:u w:val="single"/>
        </w:rPr>
        <w:t xml:space="preserve"> </w:t>
      </w:r>
      <w:r>
        <w:rPr>
          <w:u w:val="single"/>
        </w:rPr>
        <w:t xml:space="preserve">If  within thirty (30) days after receiving the supplemental  information, the Commission does not either approve the tariff application or reject the tariff application, the tariff  application shall be deemed approved.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